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jc w:val="right"/>
        <w:rPr>
          <w:sz w:val="30"/>
          <w:szCs w:val="30"/>
        </w:rPr>
      </w:pPr>
    </w:p>
    <w:p>
      <w:pPr>
        <w:pStyle w:val="51"/>
        <w:jc w:val="both"/>
      </w:pPr>
    </w:p>
    <w:p>
      <w:pPr>
        <w:pStyle w:val="51"/>
      </w:pPr>
    </w:p>
    <w:p>
      <w:pPr>
        <w:pStyle w:val="51"/>
      </w:pPr>
    </w:p>
    <w:p>
      <w:pPr>
        <w:ind w:firstLine="0" w:firstLineChars="0"/>
        <w:jc w:val="center"/>
        <w:rPr>
          <w:b/>
          <w:sz w:val="2"/>
        </w:rPr>
      </w:pPr>
      <w:r>
        <w:rPr>
          <w:rFonts w:hint="eastAsia" w:cs="微软雅黑"/>
          <w:b/>
          <w:sz w:val="140"/>
        </w:rPr>
        <w:t>磋商文件</w:t>
      </w:r>
    </w:p>
    <w:p>
      <w:pPr>
        <w:pStyle w:val="51"/>
      </w:pPr>
    </w:p>
    <w:p>
      <w:pPr>
        <w:pStyle w:val="51"/>
      </w:pPr>
    </w:p>
    <w:p>
      <w:pPr>
        <w:pStyle w:val="51"/>
      </w:pPr>
    </w:p>
    <w:tbl>
      <w:tblPr>
        <w:tblStyle w:val="32"/>
        <w:tblW w:w="92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47"/>
        <w:gridCol w:w="66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2547" w:type="dxa"/>
          </w:tcPr>
          <w:p>
            <w:pPr>
              <w:pStyle w:val="51"/>
              <w:jc w:val="both"/>
              <w:rPr>
                <w:b/>
                <w:sz w:val="30"/>
                <w:szCs w:val="30"/>
              </w:rPr>
            </w:pPr>
            <w:r>
              <w:rPr>
                <w:b/>
                <w:spacing w:val="75"/>
                <w:kern w:val="0"/>
                <w:sz w:val="30"/>
                <w:szCs w:val="30"/>
                <w:fitText w:val="2107" w:id="-1669164800"/>
              </w:rPr>
              <w:t>项目名称</w:t>
            </w:r>
            <w:r>
              <w:rPr>
                <w:rFonts w:hint="eastAsia"/>
                <w:b/>
                <w:spacing w:val="3"/>
                <w:kern w:val="0"/>
                <w:sz w:val="30"/>
                <w:szCs w:val="30"/>
                <w:fitText w:val="2107" w:id="-1669164800"/>
              </w:rPr>
              <w:t>：</w:t>
            </w:r>
          </w:p>
        </w:tc>
        <w:tc>
          <w:tcPr>
            <w:tcW w:w="6667" w:type="dxa"/>
          </w:tcPr>
          <w:p>
            <w:pPr>
              <w:pStyle w:val="51"/>
              <w:rPr>
                <w:b/>
                <w:sz w:val="30"/>
                <w:szCs w:val="30"/>
                <w:u w:val="single"/>
              </w:rPr>
            </w:pPr>
            <w:r>
              <w:rPr>
                <w:rFonts w:hint="eastAsia"/>
                <w:b/>
                <w:sz w:val="30"/>
                <w:szCs w:val="30"/>
                <w:u w:val="single"/>
              </w:rPr>
              <w:t>四川省农村科技发展中心内控信息化管理平台建设项目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2547" w:type="dxa"/>
            <w:vAlign w:val="center"/>
          </w:tcPr>
          <w:p>
            <w:pPr>
              <w:pStyle w:val="51"/>
              <w:rPr>
                <w:b/>
                <w:sz w:val="30"/>
                <w:szCs w:val="30"/>
              </w:rPr>
            </w:pPr>
            <w:r>
              <w:rPr>
                <w:b/>
                <w:spacing w:val="75"/>
                <w:kern w:val="0"/>
                <w:sz w:val="30"/>
                <w:szCs w:val="30"/>
                <w:fitText w:val="2107" w:id="-1669164799"/>
              </w:rPr>
              <w:t>采购方式</w:t>
            </w:r>
            <w:r>
              <w:rPr>
                <w:rFonts w:hint="eastAsia"/>
                <w:b/>
                <w:spacing w:val="3"/>
                <w:kern w:val="0"/>
                <w:sz w:val="30"/>
                <w:szCs w:val="30"/>
                <w:fitText w:val="2107" w:id="-1669164799"/>
              </w:rPr>
              <w:t>：</w:t>
            </w:r>
          </w:p>
        </w:tc>
        <w:tc>
          <w:tcPr>
            <w:tcW w:w="6667" w:type="dxa"/>
            <w:vAlign w:val="center"/>
          </w:tcPr>
          <w:p>
            <w:pPr>
              <w:pStyle w:val="51"/>
              <w:rPr>
                <w:b/>
                <w:sz w:val="30"/>
                <w:szCs w:val="30"/>
                <w:u w:val="single"/>
              </w:rPr>
            </w:pPr>
            <w:r>
              <w:rPr>
                <w:rFonts w:hint="eastAsia"/>
                <w:b/>
                <w:sz w:val="30"/>
                <w:szCs w:val="30"/>
                <w:u w:val="single"/>
              </w:rPr>
              <w:t>竞争性磋商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2547" w:type="dxa"/>
            <w:vAlign w:val="center"/>
          </w:tcPr>
          <w:p>
            <w:pPr>
              <w:pStyle w:val="51"/>
              <w:rPr>
                <w:b/>
                <w:sz w:val="30"/>
                <w:szCs w:val="30"/>
              </w:rPr>
            </w:pPr>
            <w:r>
              <w:rPr>
                <w:b/>
                <w:spacing w:val="151"/>
                <w:kern w:val="0"/>
                <w:sz w:val="30"/>
                <w:szCs w:val="30"/>
                <w:fitText w:val="2107" w:id="-1669164798"/>
              </w:rPr>
              <w:t>采购人</w:t>
            </w:r>
            <w:r>
              <w:rPr>
                <w:b/>
                <w:spacing w:val="0"/>
                <w:kern w:val="0"/>
                <w:sz w:val="30"/>
                <w:szCs w:val="30"/>
                <w:fitText w:val="2107" w:id="-1669164798"/>
              </w:rPr>
              <w:t>：</w:t>
            </w:r>
          </w:p>
        </w:tc>
        <w:tc>
          <w:tcPr>
            <w:tcW w:w="6667" w:type="dxa"/>
            <w:vAlign w:val="center"/>
          </w:tcPr>
          <w:p>
            <w:pPr>
              <w:pStyle w:val="51"/>
              <w:rPr>
                <w:b/>
                <w:sz w:val="30"/>
                <w:szCs w:val="30"/>
                <w:u w:val="single"/>
              </w:rPr>
            </w:pPr>
            <w:r>
              <w:rPr>
                <w:rFonts w:hint="eastAsia"/>
                <w:b/>
                <w:sz w:val="30"/>
                <w:szCs w:val="30"/>
                <w:u w:val="single"/>
              </w:rPr>
              <w:t>四川省农村科技发展中心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2547" w:type="dxa"/>
            <w:vAlign w:val="center"/>
          </w:tcPr>
          <w:p>
            <w:pPr>
              <w:pStyle w:val="51"/>
              <w:rPr>
                <w:b/>
                <w:sz w:val="30"/>
                <w:szCs w:val="30"/>
              </w:rPr>
            </w:pPr>
          </w:p>
        </w:tc>
        <w:tc>
          <w:tcPr>
            <w:tcW w:w="6667" w:type="dxa"/>
            <w:vAlign w:val="center"/>
          </w:tcPr>
          <w:p>
            <w:pPr>
              <w:pStyle w:val="51"/>
              <w:rPr>
                <w:b/>
                <w:sz w:val="30"/>
                <w:szCs w:val="30"/>
                <w:u w:val="single"/>
              </w:rPr>
            </w:pPr>
          </w:p>
        </w:tc>
      </w:tr>
    </w:tbl>
    <w:p>
      <w:pPr>
        <w:pStyle w:val="51"/>
      </w:pPr>
      <w:r>
        <w:rPr>
          <w:rFonts w:hint="eastAsia"/>
        </w:rPr>
        <w:t>、</w:t>
      </w:r>
    </w:p>
    <w:p>
      <w:pPr>
        <w:pStyle w:val="51"/>
      </w:pPr>
    </w:p>
    <w:p>
      <w:pPr>
        <w:pStyle w:val="51"/>
      </w:pPr>
    </w:p>
    <w:p>
      <w:pPr>
        <w:pStyle w:val="51"/>
      </w:pPr>
    </w:p>
    <w:p>
      <w:pPr>
        <w:pStyle w:val="51"/>
        <w:jc w:val="center"/>
        <w:rPr>
          <w:b/>
          <w:sz w:val="30"/>
          <w:szCs w:val="30"/>
        </w:rPr>
      </w:pPr>
      <w:r>
        <w:rPr>
          <w:rFonts w:hint="eastAsia"/>
          <w:b/>
          <w:sz w:val="30"/>
          <w:szCs w:val="30"/>
        </w:rPr>
        <w:t xml:space="preserve">四川省农村科技发展中心 </w:t>
      </w:r>
      <w:r>
        <w:rPr>
          <w:b/>
          <w:sz w:val="30"/>
          <w:szCs w:val="30"/>
        </w:rPr>
        <w:t xml:space="preserve"> </w:t>
      </w:r>
      <w:r>
        <w:rPr>
          <w:rFonts w:hint="eastAsia"/>
          <w:b/>
          <w:sz w:val="30"/>
          <w:szCs w:val="30"/>
        </w:rPr>
        <w:t>编制</w:t>
      </w:r>
    </w:p>
    <w:p>
      <w:pPr>
        <w:pStyle w:val="51"/>
        <w:jc w:val="center"/>
      </w:pPr>
      <w:r>
        <w:rPr>
          <w:rFonts w:hint="eastAsia"/>
          <w:b/>
          <w:sz w:val="30"/>
          <w:szCs w:val="30"/>
        </w:rPr>
        <w:t>二〇二二年十月</w:t>
      </w:r>
    </w:p>
    <w:p>
      <w:pPr>
        <w:pStyle w:val="51"/>
      </w:pPr>
    </w:p>
    <w:p>
      <w:pPr>
        <w:ind w:firstLine="0" w:firstLineChars="0"/>
        <w:jc w:val="center"/>
        <w:rPr>
          <w:sz w:val="30"/>
          <w:szCs w:val="30"/>
        </w:rPr>
      </w:pPr>
      <w:r>
        <w:rPr>
          <w:sz w:val="30"/>
          <w:szCs w:val="30"/>
        </w:rPr>
        <w:br w:type="page"/>
      </w:r>
      <w:r>
        <w:rPr>
          <w:rFonts w:hint="eastAsia"/>
          <w:sz w:val="30"/>
          <w:szCs w:val="30"/>
        </w:rPr>
        <w:t xml:space="preserve">目 </w:t>
      </w:r>
      <w:r>
        <w:rPr>
          <w:sz w:val="30"/>
          <w:szCs w:val="30"/>
        </w:rPr>
        <w:t xml:space="preserve"> </w:t>
      </w:r>
      <w:r>
        <w:rPr>
          <w:rFonts w:hint="eastAsia"/>
          <w:sz w:val="30"/>
          <w:szCs w:val="30"/>
        </w:rPr>
        <w:t>录</w:t>
      </w:r>
    </w:p>
    <w:p>
      <w:pPr>
        <w:pStyle w:val="21"/>
        <w:tabs>
          <w:tab w:val="right" w:leader="dot" w:pos="8628"/>
        </w:tabs>
      </w:pPr>
      <w:r>
        <w:rPr>
          <w:rFonts w:ascii="仿宋" w:hAnsi="仿宋" w:eastAsia="仿宋"/>
          <w:b w:val="0"/>
        </w:rPr>
        <w:fldChar w:fldCharType="begin"/>
      </w:r>
      <w:r>
        <w:rPr>
          <w:rFonts w:ascii="仿宋" w:hAnsi="仿宋" w:eastAsia="仿宋"/>
          <w:b w:val="0"/>
        </w:rPr>
        <w:instrText xml:space="preserve"> TOC \o "1-2" \h \z \u </w:instrText>
      </w:r>
      <w:r>
        <w:rPr>
          <w:rFonts w:ascii="仿宋" w:hAnsi="仿宋" w:eastAsia="仿宋"/>
          <w:b w:val="0"/>
        </w:rPr>
        <w:fldChar w:fldCharType="separate"/>
      </w:r>
      <w:r>
        <w:fldChar w:fldCharType="begin"/>
      </w:r>
      <w:r>
        <w:instrText xml:space="preserve"> HYPERLINK \l "_Toc12144" </w:instrText>
      </w:r>
      <w:r>
        <w:fldChar w:fldCharType="separate"/>
      </w:r>
      <w:r>
        <w:rPr>
          <w:rFonts w:hint="eastAsia"/>
        </w:rPr>
        <w:t>第一章 磋商邀请</w:t>
      </w:r>
      <w:r>
        <w:tab/>
      </w:r>
      <w:r>
        <w:fldChar w:fldCharType="begin"/>
      </w:r>
      <w:r>
        <w:instrText xml:space="preserve"> PAGEREF _Toc12144 \h </w:instrText>
      </w:r>
      <w:r>
        <w:fldChar w:fldCharType="separate"/>
      </w:r>
      <w:r>
        <w:t>1</w:t>
      </w:r>
      <w:r>
        <w:fldChar w:fldCharType="end"/>
      </w:r>
      <w:r>
        <w:fldChar w:fldCharType="end"/>
      </w:r>
    </w:p>
    <w:p>
      <w:pPr>
        <w:pStyle w:val="26"/>
        <w:tabs>
          <w:tab w:val="right" w:leader="dot" w:pos="8628"/>
        </w:tabs>
        <w:ind w:left="480"/>
      </w:pPr>
      <w:r>
        <w:fldChar w:fldCharType="begin"/>
      </w:r>
      <w:r>
        <w:instrText xml:space="preserve"> HYPERLINK \l "_Toc13964" </w:instrText>
      </w:r>
      <w:r>
        <w:fldChar w:fldCharType="separate"/>
      </w:r>
      <w:r>
        <w:rPr>
          <w:rFonts w:hint="eastAsia" w:ascii="仿宋" w:hAnsi="仿宋" w:eastAsia="仿宋"/>
        </w:rPr>
        <w:t>一、 采购项目基本情况</w:t>
      </w:r>
      <w:r>
        <w:tab/>
      </w:r>
      <w:r>
        <w:fldChar w:fldCharType="begin"/>
      </w:r>
      <w:r>
        <w:instrText xml:space="preserve"> PAGEREF _Toc13964 \h </w:instrText>
      </w:r>
      <w:r>
        <w:fldChar w:fldCharType="separate"/>
      </w:r>
      <w:r>
        <w:t>1</w:t>
      </w:r>
      <w:r>
        <w:fldChar w:fldCharType="end"/>
      </w:r>
      <w:r>
        <w:fldChar w:fldCharType="end"/>
      </w:r>
    </w:p>
    <w:p>
      <w:pPr>
        <w:pStyle w:val="26"/>
        <w:tabs>
          <w:tab w:val="right" w:leader="dot" w:pos="8628"/>
        </w:tabs>
        <w:ind w:left="480"/>
      </w:pPr>
      <w:r>
        <w:fldChar w:fldCharType="begin"/>
      </w:r>
      <w:r>
        <w:instrText xml:space="preserve"> HYPERLINK \l "_Toc26014" </w:instrText>
      </w:r>
      <w:r>
        <w:fldChar w:fldCharType="separate"/>
      </w:r>
      <w:r>
        <w:rPr>
          <w:rFonts w:hint="eastAsia" w:ascii="仿宋" w:hAnsi="仿宋" w:eastAsia="仿宋"/>
        </w:rPr>
        <w:t>二、 资金情况</w:t>
      </w:r>
      <w:r>
        <w:tab/>
      </w:r>
      <w:r>
        <w:fldChar w:fldCharType="begin"/>
      </w:r>
      <w:r>
        <w:instrText xml:space="preserve"> PAGEREF _Toc26014 \h </w:instrText>
      </w:r>
      <w:r>
        <w:fldChar w:fldCharType="separate"/>
      </w:r>
      <w:r>
        <w:t>1</w:t>
      </w:r>
      <w:r>
        <w:fldChar w:fldCharType="end"/>
      </w:r>
      <w:r>
        <w:fldChar w:fldCharType="end"/>
      </w:r>
    </w:p>
    <w:p>
      <w:pPr>
        <w:pStyle w:val="26"/>
        <w:tabs>
          <w:tab w:val="right" w:leader="dot" w:pos="8628"/>
        </w:tabs>
        <w:ind w:left="480"/>
      </w:pPr>
      <w:r>
        <w:fldChar w:fldCharType="begin"/>
      </w:r>
      <w:r>
        <w:instrText xml:space="preserve"> HYPERLINK \l "_Toc21032" </w:instrText>
      </w:r>
      <w:r>
        <w:fldChar w:fldCharType="separate"/>
      </w:r>
      <w:r>
        <w:rPr>
          <w:rFonts w:hint="eastAsia" w:ascii="仿宋" w:hAnsi="仿宋" w:eastAsia="仿宋"/>
        </w:rPr>
        <w:t>三、 项目简介</w:t>
      </w:r>
      <w:r>
        <w:tab/>
      </w:r>
      <w:r>
        <w:fldChar w:fldCharType="begin"/>
      </w:r>
      <w:r>
        <w:instrText xml:space="preserve"> PAGEREF _Toc21032 \h </w:instrText>
      </w:r>
      <w:r>
        <w:fldChar w:fldCharType="separate"/>
      </w:r>
      <w:r>
        <w:t>1</w:t>
      </w:r>
      <w:r>
        <w:fldChar w:fldCharType="end"/>
      </w:r>
      <w:r>
        <w:fldChar w:fldCharType="end"/>
      </w:r>
    </w:p>
    <w:p>
      <w:pPr>
        <w:pStyle w:val="26"/>
        <w:tabs>
          <w:tab w:val="right" w:leader="dot" w:pos="8628"/>
        </w:tabs>
        <w:ind w:left="480"/>
      </w:pPr>
      <w:r>
        <w:fldChar w:fldCharType="begin"/>
      </w:r>
      <w:r>
        <w:instrText xml:space="preserve"> HYPERLINK \l "_Toc2680" </w:instrText>
      </w:r>
      <w:r>
        <w:fldChar w:fldCharType="separate"/>
      </w:r>
      <w:r>
        <w:rPr>
          <w:rFonts w:hint="eastAsia" w:ascii="仿宋" w:hAnsi="仿宋" w:eastAsia="仿宋"/>
        </w:rPr>
        <w:t>四、 供应商参加本次采购活动应具备下列条件（资格条件）</w:t>
      </w:r>
      <w:r>
        <w:tab/>
      </w:r>
      <w:r>
        <w:fldChar w:fldCharType="begin"/>
      </w:r>
      <w:r>
        <w:instrText xml:space="preserve"> PAGEREF _Toc2680 \h </w:instrText>
      </w:r>
      <w:r>
        <w:fldChar w:fldCharType="separate"/>
      </w:r>
      <w:r>
        <w:t>1</w:t>
      </w:r>
      <w:r>
        <w:fldChar w:fldCharType="end"/>
      </w:r>
      <w:r>
        <w:fldChar w:fldCharType="end"/>
      </w:r>
    </w:p>
    <w:p>
      <w:pPr>
        <w:pStyle w:val="26"/>
        <w:tabs>
          <w:tab w:val="right" w:leader="dot" w:pos="8628"/>
        </w:tabs>
        <w:ind w:left="480"/>
      </w:pPr>
      <w:r>
        <w:fldChar w:fldCharType="begin"/>
      </w:r>
      <w:r>
        <w:instrText xml:space="preserve"> HYPERLINK \l "_Toc26160" </w:instrText>
      </w:r>
      <w:r>
        <w:fldChar w:fldCharType="separate"/>
      </w:r>
      <w:r>
        <w:rPr>
          <w:rFonts w:hint="eastAsia" w:ascii="仿宋" w:hAnsi="仿宋" w:eastAsia="仿宋"/>
        </w:rPr>
        <w:t>五、 磋商文件获取时间、地点及方式</w:t>
      </w:r>
      <w:r>
        <w:tab/>
      </w:r>
      <w:r>
        <w:fldChar w:fldCharType="begin"/>
      </w:r>
      <w:r>
        <w:instrText xml:space="preserve"> PAGEREF _Toc26160 \h </w:instrText>
      </w:r>
      <w:r>
        <w:fldChar w:fldCharType="separate"/>
      </w:r>
      <w:r>
        <w:t>1</w:t>
      </w:r>
      <w:r>
        <w:fldChar w:fldCharType="end"/>
      </w:r>
      <w:r>
        <w:fldChar w:fldCharType="end"/>
      </w:r>
    </w:p>
    <w:p>
      <w:pPr>
        <w:pStyle w:val="26"/>
        <w:tabs>
          <w:tab w:val="right" w:leader="dot" w:pos="8628"/>
        </w:tabs>
        <w:ind w:left="480"/>
      </w:pPr>
      <w:r>
        <w:fldChar w:fldCharType="begin"/>
      </w:r>
      <w:r>
        <w:instrText xml:space="preserve"> HYPERLINK \l "_Toc2491" </w:instrText>
      </w:r>
      <w:r>
        <w:fldChar w:fldCharType="separate"/>
      </w:r>
      <w:r>
        <w:rPr>
          <w:rFonts w:hint="eastAsia" w:ascii="仿宋" w:hAnsi="仿宋" w:eastAsia="仿宋"/>
        </w:rPr>
        <w:t>六、 递交响应文件</w:t>
      </w:r>
      <w:r>
        <w:tab/>
      </w:r>
      <w:r>
        <w:fldChar w:fldCharType="begin"/>
      </w:r>
      <w:r>
        <w:instrText xml:space="preserve"> PAGEREF _Toc2491 \h </w:instrText>
      </w:r>
      <w:r>
        <w:fldChar w:fldCharType="separate"/>
      </w:r>
      <w:r>
        <w:t>2</w:t>
      </w:r>
      <w:r>
        <w:fldChar w:fldCharType="end"/>
      </w:r>
      <w:r>
        <w:fldChar w:fldCharType="end"/>
      </w:r>
    </w:p>
    <w:p>
      <w:pPr>
        <w:pStyle w:val="26"/>
        <w:tabs>
          <w:tab w:val="right" w:leader="dot" w:pos="8628"/>
        </w:tabs>
        <w:ind w:left="480"/>
      </w:pPr>
      <w:r>
        <w:fldChar w:fldCharType="begin"/>
      </w:r>
      <w:r>
        <w:instrText xml:space="preserve"> HYPERLINK \l "_Toc27887" </w:instrText>
      </w:r>
      <w:r>
        <w:fldChar w:fldCharType="separate"/>
      </w:r>
      <w:r>
        <w:rPr>
          <w:rFonts w:hint="eastAsia" w:ascii="仿宋" w:hAnsi="仿宋" w:eastAsia="仿宋"/>
        </w:rPr>
        <w:t>七、 采购组织单位联系方式</w:t>
      </w:r>
      <w:r>
        <w:tab/>
      </w:r>
      <w:r>
        <w:fldChar w:fldCharType="begin"/>
      </w:r>
      <w:r>
        <w:instrText xml:space="preserve"> PAGEREF _Toc27887 \h </w:instrText>
      </w:r>
      <w:r>
        <w:fldChar w:fldCharType="separate"/>
      </w:r>
      <w:r>
        <w:t>2</w:t>
      </w:r>
      <w:r>
        <w:fldChar w:fldCharType="end"/>
      </w:r>
      <w:r>
        <w:fldChar w:fldCharType="end"/>
      </w:r>
    </w:p>
    <w:p>
      <w:pPr>
        <w:pStyle w:val="21"/>
        <w:tabs>
          <w:tab w:val="right" w:leader="dot" w:pos="8628"/>
        </w:tabs>
      </w:pPr>
      <w:r>
        <w:fldChar w:fldCharType="begin"/>
      </w:r>
      <w:r>
        <w:instrText xml:space="preserve"> HYPERLINK \l "_Toc17413" </w:instrText>
      </w:r>
      <w:r>
        <w:fldChar w:fldCharType="separate"/>
      </w:r>
      <w:r>
        <w:rPr>
          <w:rFonts w:hint="eastAsia"/>
        </w:rPr>
        <w:t>第二章 磋商须知</w:t>
      </w:r>
      <w:r>
        <w:tab/>
      </w:r>
      <w:r>
        <w:fldChar w:fldCharType="begin"/>
      </w:r>
      <w:r>
        <w:instrText xml:space="preserve"> PAGEREF _Toc17413 \h </w:instrText>
      </w:r>
      <w:r>
        <w:fldChar w:fldCharType="separate"/>
      </w:r>
      <w:r>
        <w:t>3</w:t>
      </w:r>
      <w:r>
        <w:fldChar w:fldCharType="end"/>
      </w:r>
      <w:r>
        <w:fldChar w:fldCharType="end"/>
      </w:r>
    </w:p>
    <w:p>
      <w:pPr>
        <w:pStyle w:val="26"/>
        <w:tabs>
          <w:tab w:val="right" w:leader="dot" w:pos="8628"/>
        </w:tabs>
        <w:ind w:left="480"/>
      </w:pPr>
      <w:r>
        <w:fldChar w:fldCharType="begin"/>
      </w:r>
      <w:r>
        <w:instrText xml:space="preserve"> HYPERLINK \l "_Toc15903" </w:instrText>
      </w:r>
      <w:r>
        <w:fldChar w:fldCharType="separate"/>
      </w:r>
      <w:r>
        <w:rPr>
          <w:rFonts w:hint="eastAsia" w:ascii="仿宋" w:hAnsi="仿宋" w:eastAsia="仿宋"/>
        </w:rPr>
        <w:t>一、 供应商须知附表</w:t>
      </w:r>
      <w:r>
        <w:tab/>
      </w:r>
      <w:r>
        <w:fldChar w:fldCharType="begin"/>
      </w:r>
      <w:r>
        <w:instrText xml:space="preserve"> PAGEREF _Toc15903 \h </w:instrText>
      </w:r>
      <w:r>
        <w:fldChar w:fldCharType="separate"/>
      </w:r>
      <w:r>
        <w:t>3</w:t>
      </w:r>
      <w:r>
        <w:fldChar w:fldCharType="end"/>
      </w:r>
      <w:r>
        <w:fldChar w:fldCharType="end"/>
      </w:r>
    </w:p>
    <w:p>
      <w:pPr>
        <w:pStyle w:val="26"/>
        <w:tabs>
          <w:tab w:val="right" w:leader="dot" w:pos="8628"/>
        </w:tabs>
        <w:ind w:left="480"/>
      </w:pPr>
      <w:r>
        <w:fldChar w:fldCharType="begin"/>
      </w:r>
      <w:r>
        <w:instrText xml:space="preserve"> HYPERLINK \l "_Toc3441" </w:instrText>
      </w:r>
      <w:r>
        <w:fldChar w:fldCharType="separate"/>
      </w:r>
      <w:r>
        <w:rPr>
          <w:rFonts w:hint="eastAsia" w:ascii="仿宋" w:hAnsi="仿宋" w:eastAsia="仿宋"/>
        </w:rPr>
        <w:t>二、 总则</w:t>
      </w:r>
      <w:r>
        <w:tab/>
      </w:r>
      <w:r>
        <w:fldChar w:fldCharType="begin"/>
      </w:r>
      <w:r>
        <w:instrText xml:space="preserve"> PAGEREF _Toc3441 \h </w:instrText>
      </w:r>
      <w:r>
        <w:fldChar w:fldCharType="separate"/>
      </w:r>
      <w:r>
        <w:t>5</w:t>
      </w:r>
      <w:r>
        <w:fldChar w:fldCharType="end"/>
      </w:r>
      <w:r>
        <w:fldChar w:fldCharType="end"/>
      </w:r>
    </w:p>
    <w:p>
      <w:pPr>
        <w:pStyle w:val="26"/>
        <w:tabs>
          <w:tab w:val="right" w:leader="dot" w:pos="8628"/>
        </w:tabs>
        <w:ind w:left="480"/>
      </w:pPr>
      <w:r>
        <w:fldChar w:fldCharType="begin"/>
      </w:r>
      <w:r>
        <w:instrText xml:space="preserve"> HYPERLINK \l "_Toc29583" </w:instrText>
      </w:r>
      <w:r>
        <w:fldChar w:fldCharType="separate"/>
      </w:r>
      <w:r>
        <w:rPr>
          <w:rFonts w:hint="eastAsia" w:ascii="仿宋" w:hAnsi="仿宋" w:eastAsia="仿宋"/>
        </w:rPr>
        <w:t>三、 磋商文件</w:t>
      </w:r>
      <w:r>
        <w:tab/>
      </w:r>
      <w:r>
        <w:fldChar w:fldCharType="begin"/>
      </w:r>
      <w:r>
        <w:instrText xml:space="preserve"> PAGEREF _Toc29583 \h </w:instrText>
      </w:r>
      <w:r>
        <w:fldChar w:fldCharType="separate"/>
      </w:r>
      <w:r>
        <w:t>7</w:t>
      </w:r>
      <w:r>
        <w:fldChar w:fldCharType="end"/>
      </w:r>
      <w:r>
        <w:fldChar w:fldCharType="end"/>
      </w:r>
    </w:p>
    <w:p>
      <w:pPr>
        <w:pStyle w:val="26"/>
        <w:tabs>
          <w:tab w:val="right" w:leader="dot" w:pos="8628"/>
        </w:tabs>
        <w:ind w:left="480"/>
      </w:pPr>
      <w:r>
        <w:fldChar w:fldCharType="begin"/>
      </w:r>
      <w:r>
        <w:instrText xml:space="preserve"> HYPERLINK \l "_Toc24102" </w:instrText>
      </w:r>
      <w:r>
        <w:fldChar w:fldCharType="separate"/>
      </w:r>
      <w:r>
        <w:rPr>
          <w:rFonts w:hint="eastAsia" w:ascii="仿宋" w:hAnsi="仿宋" w:eastAsia="仿宋"/>
        </w:rPr>
        <w:t>四、 响应文件</w:t>
      </w:r>
      <w:r>
        <w:tab/>
      </w:r>
      <w:r>
        <w:fldChar w:fldCharType="begin"/>
      </w:r>
      <w:r>
        <w:instrText xml:space="preserve"> PAGEREF _Toc24102 \h </w:instrText>
      </w:r>
      <w:r>
        <w:fldChar w:fldCharType="separate"/>
      </w:r>
      <w:r>
        <w:t>8</w:t>
      </w:r>
      <w:r>
        <w:fldChar w:fldCharType="end"/>
      </w:r>
      <w:r>
        <w:fldChar w:fldCharType="end"/>
      </w:r>
    </w:p>
    <w:p>
      <w:pPr>
        <w:pStyle w:val="26"/>
        <w:tabs>
          <w:tab w:val="right" w:leader="dot" w:pos="8628"/>
        </w:tabs>
        <w:ind w:left="480"/>
      </w:pPr>
      <w:r>
        <w:fldChar w:fldCharType="begin"/>
      </w:r>
      <w:r>
        <w:instrText xml:space="preserve"> HYPERLINK \l "_Toc15354" </w:instrText>
      </w:r>
      <w:r>
        <w:fldChar w:fldCharType="separate"/>
      </w:r>
      <w:r>
        <w:rPr>
          <w:rFonts w:hint="eastAsia" w:ascii="仿宋" w:hAnsi="仿宋" w:eastAsia="仿宋"/>
        </w:rPr>
        <w:t>五、 磋商及评审程序</w:t>
      </w:r>
      <w:r>
        <w:tab/>
      </w:r>
      <w:r>
        <w:fldChar w:fldCharType="begin"/>
      </w:r>
      <w:r>
        <w:instrText xml:space="preserve"> PAGEREF _Toc15354 \h </w:instrText>
      </w:r>
      <w:r>
        <w:fldChar w:fldCharType="separate"/>
      </w:r>
      <w:r>
        <w:t>11</w:t>
      </w:r>
      <w:r>
        <w:fldChar w:fldCharType="end"/>
      </w:r>
      <w:r>
        <w:fldChar w:fldCharType="end"/>
      </w:r>
    </w:p>
    <w:p>
      <w:pPr>
        <w:pStyle w:val="26"/>
        <w:tabs>
          <w:tab w:val="right" w:leader="dot" w:pos="8628"/>
        </w:tabs>
        <w:ind w:left="480"/>
      </w:pPr>
      <w:r>
        <w:fldChar w:fldCharType="begin"/>
      </w:r>
      <w:r>
        <w:instrText xml:space="preserve"> HYPERLINK \l "_Toc11363" </w:instrText>
      </w:r>
      <w:r>
        <w:fldChar w:fldCharType="separate"/>
      </w:r>
      <w:r>
        <w:rPr>
          <w:rFonts w:hint="eastAsia" w:ascii="仿宋" w:hAnsi="仿宋" w:eastAsia="仿宋"/>
        </w:rPr>
        <w:t>六、 成交事项</w:t>
      </w:r>
      <w:r>
        <w:tab/>
      </w:r>
      <w:r>
        <w:fldChar w:fldCharType="begin"/>
      </w:r>
      <w:r>
        <w:instrText xml:space="preserve"> PAGEREF _Toc11363 \h </w:instrText>
      </w:r>
      <w:r>
        <w:fldChar w:fldCharType="separate"/>
      </w:r>
      <w:r>
        <w:t>11</w:t>
      </w:r>
      <w:r>
        <w:fldChar w:fldCharType="end"/>
      </w:r>
      <w:r>
        <w:fldChar w:fldCharType="end"/>
      </w:r>
    </w:p>
    <w:p>
      <w:pPr>
        <w:pStyle w:val="26"/>
        <w:tabs>
          <w:tab w:val="right" w:leader="dot" w:pos="8628"/>
        </w:tabs>
        <w:ind w:left="480"/>
      </w:pPr>
      <w:r>
        <w:fldChar w:fldCharType="begin"/>
      </w:r>
      <w:r>
        <w:instrText xml:space="preserve"> HYPERLINK \l "_Toc21866" </w:instrText>
      </w:r>
      <w:r>
        <w:fldChar w:fldCharType="separate"/>
      </w:r>
      <w:r>
        <w:rPr>
          <w:rFonts w:hint="eastAsia" w:ascii="仿宋" w:hAnsi="仿宋" w:eastAsia="仿宋"/>
        </w:rPr>
        <w:t>七、 合同事项</w:t>
      </w:r>
      <w:r>
        <w:tab/>
      </w:r>
      <w:r>
        <w:fldChar w:fldCharType="begin"/>
      </w:r>
      <w:r>
        <w:instrText xml:space="preserve"> PAGEREF _Toc21866 \h </w:instrText>
      </w:r>
      <w:r>
        <w:fldChar w:fldCharType="separate"/>
      </w:r>
      <w:r>
        <w:t>12</w:t>
      </w:r>
      <w:r>
        <w:fldChar w:fldCharType="end"/>
      </w:r>
      <w:r>
        <w:fldChar w:fldCharType="end"/>
      </w:r>
    </w:p>
    <w:p>
      <w:pPr>
        <w:pStyle w:val="21"/>
        <w:tabs>
          <w:tab w:val="right" w:leader="dot" w:pos="8628"/>
        </w:tabs>
      </w:pPr>
      <w:r>
        <w:fldChar w:fldCharType="begin"/>
      </w:r>
      <w:r>
        <w:instrText xml:space="preserve"> HYPERLINK \l "_Toc25538" </w:instrText>
      </w:r>
      <w:r>
        <w:fldChar w:fldCharType="separate"/>
      </w:r>
      <w:r>
        <w:rPr>
          <w:rFonts w:hint="eastAsia"/>
        </w:rPr>
        <w:t>第三章 供应商资格条件及证明材料要求</w:t>
      </w:r>
      <w:r>
        <w:tab/>
      </w:r>
      <w:r>
        <w:fldChar w:fldCharType="begin"/>
      </w:r>
      <w:r>
        <w:instrText xml:space="preserve"> PAGEREF _Toc25538 \h </w:instrText>
      </w:r>
      <w:r>
        <w:fldChar w:fldCharType="separate"/>
      </w:r>
      <w:r>
        <w:t>14</w:t>
      </w:r>
      <w:r>
        <w:fldChar w:fldCharType="end"/>
      </w:r>
      <w:r>
        <w:fldChar w:fldCharType="end"/>
      </w:r>
    </w:p>
    <w:p>
      <w:pPr>
        <w:pStyle w:val="26"/>
        <w:tabs>
          <w:tab w:val="right" w:leader="dot" w:pos="8628"/>
        </w:tabs>
        <w:ind w:left="480"/>
      </w:pPr>
      <w:r>
        <w:fldChar w:fldCharType="begin"/>
      </w:r>
      <w:r>
        <w:instrText xml:space="preserve"> HYPERLINK \l "_Toc29663" </w:instrText>
      </w:r>
      <w:r>
        <w:fldChar w:fldCharType="separate"/>
      </w:r>
      <w:r>
        <w:rPr>
          <w:rFonts w:hint="eastAsia" w:ascii="仿宋" w:hAnsi="仿宋" w:eastAsia="仿宋"/>
        </w:rPr>
        <w:t>一、 本项目的基本</w:t>
      </w:r>
      <w:r>
        <w:rPr>
          <w:rFonts w:ascii="仿宋" w:hAnsi="仿宋" w:eastAsia="仿宋"/>
        </w:rPr>
        <w:t>资格</w:t>
      </w:r>
      <w:r>
        <w:rPr>
          <w:rFonts w:hint="eastAsia" w:ascii="仿宋" w:hAnsi="仿宋" w:eastAsia="仿宋"/>
        </w:rPr>
        <w:t>条件</w:t>
      </w:r>
      <w:r>
        <w:tab/>
      </w:r>
      <w:r>
        <w:fldChar w:fldCharType="begin"/>
      </w:r>
      <w:r>
        <w:instrText xml:space="preserve"> PAGEREF _Toc29663 \h </w:instrText>
      </w:r>
      <w:r>
        <w:fldChar w:fldCharType="separate"/>
      </w:r>
      <w:r>
        <w:t>14</w:t>
      </w:r>
      <w:r>
        <w:fldChar w:fldCharType="end"/>
      </w:r>
      <w:r>
        <w:fldChar w:fldCharType="end"/>
      </w:r>
    </w:p>
    <w:p>
      <w:pPr>
        <w:pStyle w:val="26"/>
        <w:tabs>
          <w:tab w:val="right" w:leader="dot" w:pos="8628"/>
        </w:tabs>
        <w:ind w:left="480"/>
      </w:pPr>
      <w:r>
        <w:fldChar w:fldCharType="begin"/>
      </w:r>
      <w:r>
        <w:instrText xml:space="preserve"> HYPERLINK \l "_Toc19407" </w:instrText>
      </w:r>
      <w:r>
        <w:fldChar w:fldCharType="separate"/>
      </w:r>
      <w:r>
        <w:rPr>
          <w:rFonts w:hint="eastAsia" w:ascii="仿宋" w:hAnsi="仿宋" w:eastAsia="仿宋"/>
        </w:rPr>
        <w:t>二、 落实政府采购政策需满足的资格要求：无。</w:t>
      </w:r>
      <w:r>
        <w:tab/>
      </w:r>
      <w:r>
        <w:fldChar w:fldCharType="begin"/>
      </w:r>
      <w:r>
        <w:instrText xml:space="preserve"> PAGEREF _Toc19407 \h </w:instrText>
      </w:r>
      <w:r>
        <w:fldChar w:fldCharType="separate"/>
      </w:r>
      <w:r>
        <w:t>15</w:t>
      </w:r>
      <w:r>
        <w:fldChar w:fldCharType="end"/>
      </w:r>
      <w:r>
        <w:fldChar w:fldCharType="end"/>
      </w:r>
    </w:p>
    <w:p>
      <w:pPr>
        <w:pStyle w:val="26"/>
        <w:tabs>
          <w:tab w:val="right" w:leader="dot" w:pos="8628"/>
        </w:tabs>
        <w:ind w:left="480"/>
      </w:pPr>
      <w:r>
        <w:fldChar w:fldCharType="begin"/>
      </w:r>
      <w:r>
        <w:instrText xml:space="preserve"> HYPERLINK \l "_Toc15893" </w:instrText>
      </w:r>
      <w:r>
        <w:fldChar w:fldCharType="separate"/>
      </w:r>
      <w:r>
        <w:rPr>
          <w:rFonts w:hint="eastAsia" w:ascii="仿宋" w:hAnsi="仿宋" w:eastAsia="仿宋"/>
        </w:rPr>
        <w:t>三、 本项目</w:t>
      </w:r>
      <w:r>
        <w:rPr>
          <w:rFonts w:ascii="仿宋" w:hAnsi="仿宋" w:eastAsia="仿宋"/>
        </w:rPr>
        <w:t>的</w:t>
      </w:r>
      <w:r>
        <w:rPr>
          <w:rFonts w:hint="eastAsia" w:ascii="仿宋" w:hAnsi="仿宋" w:eastAsia="仿宋"/>
        </w:rPr>
        <w:t>特定资格条件</w:t>
      </w:r>
      <w:r>
        <w:tab/>
      </w:r>
      <w:r>
        <w:fldChar w:fldCharType="begin"/>
      </w:r>
      <w:r>
        <w:instrText xml:space="preserve"> PAGEREF _Toc15893 \h </w:instrText>
      </w:r>
      <w:r>
        <w:fldChar w:fldCharType="separate"/>
      </w:r>
      <w:r>
        <w:t>15</w:t>
      </w:r>
      <w:r>
        <w:fldChar w:fldCharType="end"/>
      </w:r>
      <w:r>
        <w:fldChar w:fldCharType="end"/>
      </w:r>
    </w:p>
    <w:p>
      <w:pPr>
        <w:pStyle w:val="21"/>
        <w:tabs>
          <w:tab w:val="right" w:leader="dot" w:pos="8628"/>
        </w:tabs>
      </w:pPr>
      <w:r>
        <w:fldChar w:fldCharType="begin"/>
      </w:r>
      <w:r>
        <w:instrText xml:space="preserve"> HYPERLINK \l "_Toc43" </w:instrText>
      </w:r>
      <w:r>
        <w:fldChar w:fldCharType="separate"/>
      </w:r>
      <w:r>
        <w:rPr>
          <w:rFonts w:hint="eastAsia"/>
        </w:rPr>
        <w:t>第四章 采购项目技术、服务及商务要求</w:t>
      </w:r>
      <w:r>
        <w:tab/>
      </w:r>
      <w:r>
        <w:fldChar w:fldCharType="begin"/>
      </w:r>
      <w:r>
        <w:instrText xml:space="preserve"> PAGEREF _Toc43 \h </w:instrText>
      </w:r>
      <w:r>
        <w:fldChar w:fldCharType="separate"/>
      </w:r>
      <w:r>
        <w:t>16</w:t>
      </w:r>
      <w:r>
        <w:fldChar w:fldCharType="end"/>
      </w:r>
      <w:r>
        <w:fldChar w:fldCharType="end"/>
      </w:r>
    </w:p>
    <w:p>
      <w:pPr>
        <w:pStyle w:val="26"/>
        <w:tabs>
          <w:tab w:val="right" w:leader="dot" w:pos="8628"/>
        </w:tabs>
        <w:ind w:left="480"/>
      </w:pPr>
      <w:r>
        <w:fldChar w:fldCharType="begin"/>
      </w:r>
      <w:r>
        <w:instrText xml:space="preserve"> HYPERLINK \l "_Toc6562" </w:instrText>
      </w:r>
      <w:r>
        <w:fldChar w:fldCharType="separate"/>
      </w:r>
      <w:r>
        <w:rPr>
          <w:rFonts w:hint="eastAsia" w:ascii="仿宋" w:hAnsi="仿宋" w:eastAsia="仿宋"/>
        </w:rPr>
        <w:t>一、 项目概述</w:t>
      </w:r>
      <w:r>
        <w:tab/>
      </w:r>
      <w:r>
        <w:fldChar w:fldCharType="begin"/>
      </w:r>
      <w:r>
        <w:instrText xml:space="preserve"> PAGEREF _Toc6562 \h </w:instrText>
      </w:r>
      <w:r>
        <w:fldChar w:fldCharType="separate"/>
      </w:r>
      <w:r>
        <w:t>16</w:t>
      </w:r>
      <w:r>
        <w:fldChar w:fldCharType="end"/>
      </w:r>
      <w:r>
        <w:fldChar w:fldCharType="end"/>
      </w:r>
    </w:p>
    <w:p>
      <w:pPr>
        <w:pStyle w:val="26"/>
        <w:tabs>
          <w:tab w:val="right" w:leader="dot" w:pos="8628"/>
        </w:tabs>
        <w:ind w:left="480"/>
      </w:pPr>
      <w:r>
        <w:fldChar w:fldCharType="begin"/>
      </w:r>
      <w:r>
        <w:instrText xml:space="preserve"> HYPERLINK \l "_Toc28356" </w:instrText>
      </w:r>
      <w:r>
        <w:fldChar w:fldCharType="separate"/>
      </w:r>
      <w:r>
        <w:rPr>
          <w:rFonts w:hint="eastAsia" w:ascii="仿宋" w:hAnsi="仿宋" w:eastAsia="仿宋"/>
        </w:rPr>
        <w:t>二、 项目清单及技术参数要求</w:t>
      </w:r>
      <w:r>
        <w:tab/>
      </w:r>
      <w:r>
        <w:fldChar w:fldCharType="begin"/>
      </w:r>
      <w:r>
        <w:instrText xml:space="preserve"> PAGEREF _Toc28356 \h </w:instrText>
      </w:r>
      <w:r>
        <w:fldChar w:fldCharType="separate"/>
      </w:r>
      <w:r>
        <w:t>16</w:t>
      </w:r>
      <w:r>
        <w:fldChar w:fldCharType="end"/>
      </w:r>
      <w:r>
        <w:fldChar w:fldCharType="end"/>
      </w:r>
    </w:p>
    <w:p>
      <w:pPr>
        <w:pStyle w:val="26"/>
        <w:tabs>
          <w:tab w:val="right" w:leader="dot" w:pos="8628"/>
        </w:tabs>
        <w:ind w:left="480"/>
      </w:pPr>
      <w:r>
        <w:fldChar w:fldCharType="begin"/>
      </w:r>
      <w:r>
        <w:instrText xml:space="preserve"> HYPERLINK \l "_Toc2234" </w:instrText>
      </w:r>
      <w:r>
        <w:fldChar w:fldCharType="separate"/>
      </w:r>
      <w:r>
        <w:rPr>
          <w:rFonts w:hint="eastAsia" w:ascii="仿宋" w:hAnsi="仿宋" w:eastAsia="仿宋"/>
        </w:rPr>
        <w:t>三、 售后服务要求</w:t>
      </w:r>
      <w:r>
        <w:tab/>
      </w:r>
      <w:r>
        <w:fldChar w:fldCharType="begin"/>
      </w:r>
      <w:r>
        <w:instrText xml:space="preserve"> PAGEREF _Toc2234 \h </w:instrText>
      </w:r>
      <w:r>
        <w:fldChar w:fldCharType="separate"/>
      </w:r>
      <w:r>
        <w:t>21</w:t>
      </w:r>
      <w:r>
        <w:fldChar w:fldCharType="end"/>
      </w:r>
      <w:r>
        <w:fldChar w:fldCharType="end"/>
      </w:r>
    </w:p>
    <w:p>
      <w:pPr>
        <w:pStyle w:val="26"/>
        <w:tabs>
          <w:tab w:val="right" w:leader="dot" w:pos="8628"/>
        </w:tabs>
        <w:ind w:left="480"/>
      </w:pPr>
      <w:r>
        <w:fldChar w:fldCharType="begin"/>
      </w:r>
      <w:r>
        <w:instrText xml:space="preserve"> HYPERLINK \l "_Toc13558" </w:instrText>
      </w:r>
      <w:r>
        <w:fldChar w:fldCharType="separate"/>
      </w:r>
      <w:r>
        <w:rPr>
          <w:rFonts w:hint="eastAsia" w:ascii="仿宋" w:hAnsi="仿宋" w:eastAsia="仿宋"/>
        </w:rPr>
        <w:t xml:space="preserve">四、 </w:t>
      </w:r>
      <w:r>
        <w:rPr>
          <w:rFonts w:ascii="仿宋" w:hAnsi="仿宋" w:eastAsia="仿宋"/>
        </w:rPr>
        <w:t>商务要求</w:t>
      </w:r>
      <w:r>
        <w:tab/>
      </w:r>
      <w:r>
        <w:fldChar w:fldCharType="begin"/>
      </w:r>
      <w:r>
        <w:instrText xml:space="preserve"> PAGEREF _Toc13558 \h </w:instrText>
      </w:r>
      <w:r>
        <w:fldChar w:fldCharType="separate"/>
      </w:r>
      <w:r>
        <w:t>21</w:t>
      </w:r>
      <w:r>
        <w:fldChar w:fldCharType="end"/>
      </w:r>
      <w:r>
        <w:fldChar w:fldCharType="end"/>
      </w:r>
    </w:p>
    <w:p>
      <w:pPr>
        <w:pStyle w:val="21"/>
        <w:tabs>
          <w:tab w:val="right" w:leader="dot" w:pos="8628"/>
        </w:tabs>
      </w:pPr>
      <w:r>
        <w:fldChar w:fldCharType="begin"/>
      </w:r>
      <w:r>
        <w:instrText xml:space="preserve"> HYPERLINK \l "_Toc12122" </w:instrText>
      </w:r>
      <w:r>
        <w:fldChar w:fldCharType="separate"/>
      </w:r>
      <w:r>
        <w:rPr>
          <w:rFonts w:hint="eastAsia"/>
        </w:rPr>
        <w:t>第五章 响应文件格式</w:t>
      </w:r>
      <w:r>
        <w:tab/>
      </w:r>
      <w:r>
        <w:fldChar w:fldCharType="begin"/>
      </w:r>
      <w:r>
        <w:instrText xml:space="preserve"> PAGEREF _Toc12122 \h </w:instrText>
      </w:r>
      <w:r>
        <w:fldChar w:fldCharType="separate"/>
      </w:r>
      <w:r>
        <w:t>22</w:t>
      </w:r>
      <w:r>
        <w:fldChar w:fldCharType="end"/>
      </w:r>
      <w:r>
        <w:fldChar w:fldCharType="end"/>
      </w:r>
    </w:p>
    <w:p>
      <w:pPr>
        <w:pStyle w:val="26"/>
        <w:tabs>
          <w:tab w:val="right" w:leader="dot" w:pos="8628"/>
        </w:tabs>
        <w:ind w:left="480"/>
      </w:pPr>
      <w:r>
        <w:fldChar w:fldCharType="begin"/>
      </w:r>
      <w:r>
        <w:instrText xml:space="preserve"> HYPERLINK \l "_Toc14992" </w:instrText>
      </w:r>
      <w:r>
        <w:fldChar w:fldCharType="separate"/>
      </w:r>
      <w:r>
        <w:rPr>
          <w:rFonts w:hint="eastAsia" w:ascii="仿宋" w:hAnsi="仿宋" w:eastAsia="仿宋"/>
        </w:rPr>
        <w:t>一、 资格性响应文件</w:t>
      </w:r>
      <w:r>
        <w:tab/>
      </w:r>
      <w:r>
        <w:fldChar w:fldCharType="begin"/>
      </w:r>
      <w:r>
        <w:instrText xml:space="preserve"> PAGEREF _Toc14992 \h </w:instrText>
      </w:r>
      <w:r>
        <w:fldChar w:fldCharType="separate"/>
      </w:r>
      <w:r>
        <w:t>23</w:t>
      </w:r>
      <w:r>
        <w:fldChar w:fldCharType="end"/>
      </w:r>
      <w:r>
        <w:fldChar w:fldCharType="end"/>
      </w:r>
    </w:p>
    <w:p>
      <w:pPr>
        <w:pStyle w:val="26"/>
        <w:tabs>
          <w:tab w:val="right" w:leader="dot" w:pos="8628"/>
        </w:tabs>
        <w:ind w:left="480"/>
      </w:pPr>
      <w:r>
        <w:fldChar w:fldCharType="begin"/>
      </w:r>
      <w:r>
        <w:instrText xml:space="preserve"> HYPERLINK \l "_Toc698" </w:instrText>
      </w:r>
      <w:r>
        <w:fldChar w:fldCharType="separate"/>
      </w:r>
      <w:r>
        <w:rPr>
          <w:rFonts w:hint="eastAsia" w:ascii="仿宋" w:hAnsi="仿宋" w:eastAsia="仿宋"/>
        </w:rPr>
        <w:t>二、 其他响应文件格式</w:t>
      </w:r>
      <w:r>
        <w:tab/>
      </w:r>
      <w:r>
        <w:fldChar w:fldCharType="begin"/>
      </w:r>
      <w:r>
        <w:instrText xml:space="preserve"> PAGEREF _Toc698 \h </w:instrText>
      </w:r>
      <w:r>
        <w:fldChar w:fldCharType="separate"/>
      </w:r>
      <w:r>
        <w:t>27</w:t>
      </w:r>
      <w:r>
        <w:fldChar w:fldCharType="end"/>
      </w:r>
      <w:r>
        <w:fldChar w:fldCharType="end"/>
      </w:r>
    </w:p>
    <w:p>
      <w:pPr>
        <w:pStyle w:val="26"/>
        <w:tabs>
          <w:tab w:val="right" w:leader="dot" w:pos="8628"/>
        </w:tabs>
        <w:ind w:left="480"/>
      </w:pPr>
      <w:r>
        <w:fldChar w:fldCharType="begin"/>
      </w:r>
      <w:r>
        <w:instrText xml:space="preserve"> HYPERLINK \l "_Toc8715" </w:instrText>
      </w:r>
      <w:r>
        <w:fldChar w:fldCharType="separate"/>
      </w:r>
      <w:r>
        <w:rPr>
          <w:rFonts w:hint="eastAsia" w:ascii="仿宋" w:hAnsi="仿宋" w:eastAsia="仿宋"/>
        </w:rPr>
        <w:t>三、 最后报价表格式</w:t>
      </w:r>
      <w:r>
        <w:tab/>
      </w:r>
      <w:r>
        <w:fldChar w:fldCharType="begin"/>
      </w:r>
      <w:r>
        <w:instrText xml:space="preserve"> PAGEREF _Toc8715 \h </w:instrText>
      </w:r>
      <w:r>
        <w:fldChar w:fldCharType="separate"/>
      </w:r>
      <w:r>
        <w:t>41</w:t>
      </w:r>
      <w:r>
        <w:fldChar w:fldCharType="end"/>
      </w:r>
      <w:r>
        <w:fldChar w:fldCharType="end"/>
      </w:r>
    </w:p>
    <w:p>
      <w:pPr>
        <w:pStyle w:val="21"/>
        <w:tabs>
          <w:tab w:val="right" w:leader="dot" w:pos="8628"/>
        </w:tabs>
      </w:pPr>
      <w:r>
        <w:fldChar w:fldCharType="begin"/>
      </w:r>
      <w:r>
        <w:instrText xml:space="preserve"> HYPERLINK \l "_Toc32032" </w:instrText>
      </w:r>
      <w:r>
        <w:fldChar w:fldCharType="separate"/>
      </w:r>
      <w:r>
        <w:rPr>
          <w:rFonts w:hint="eastAsia"/>
        </w:rPr>
        <w:t>第六章 磋商程序及评审相关内容</w:t>
      </w:r>
      <w:r>
        <w:tab/>
      </w:r>
      <w:r>
        <w:fldChar w:fldCharType="begin"/>
      </w:r>
      <w:r>
        <w:instrText xml:space="preserve"> PAGEREF _Toc32032 \h </w:instrText>
      </w:r>
      <w:r>
        <w:fldChar w:fldCharType="separate"/>
      </w:r>
      <w:r>
        <w:t>42</w:t>
      </w:r>
      <w:r>
        <w:fldChar w:fldCharType="end"/>
      </w:r>
      <w:r>
        <w:fldChar w:fldCharType="end"/>
      </w:r>
    </w:p>
    <w:p>
      <w:pPr>
        <w:pStyle w:val="26"/>
        <w:tabs>
          <w:tab w:val="right" w:leader="dot" w:pos="8628"/>
        </w:tabs>
        <w:ind w:left="480"/>
      </w:pPr>
      <w:r>
        <w:fldChar w:fldCharType="begin"/>
      </w:r>
      <w:r>
        <w:instrText xml:space="preserve"> HYPERLINK \l "_Toc8056" </w:instrText>
      </w:r>
      <w:r>
        <w:fldChar w:fldCharType="separate"/>
      </w:r>
      <w:r>
        <w:rPr>
          <w:rFonts w:hint="eastAsia" w:ascii="仿宋" w:hAnsi="仿宋" w:eastAsia="仿宋"/>
        </w:rPr>
        <w:t>一、 磋商程序</w:t>
      </w:r>
      <w:r>
        <w:tab/>
      </w:r>
      <w:r>
        <w:fldChar w:fldCharType="begin"/>
      </w:r>
      <w:r>
        <w:instrText xml:space="preserve"> PAGEREF _Toc8056 \h </w:instrText>
      </w:r>
      <w:r>
        <w:fldChar w:fldCharType="separate"/>
      </w:r>
      <w:r>
        <w:t>42</w:t>
      </w:r>
      <w:r>
        <w:fldChar w:fldCharType="end"/>
      </w:r>
      <w:r>
        <w:fldChar w:fldCharType="end"/>
      </w:r>
    </w:p>
    <w:p>
      <w:pPr>
        <w:pStyle w:val="26"/>
        <w:tabs>
          <w:tab w:val="right" w:leader="dot" w:pos="8628"/>
        </w:tabs>
        <w:ind w:left="480"/>
      </w:pPr>
      <w:r>
        <w:fldChar w:fldCharType="begin"/>
      </w:r>
      <w:r>
        <w:instrText xml:space="preserve"> HYPERLINK \l "_Toc16790" </w:instrText>
      </w:r>
      <w:r>
        <w:fldChar w:fldCharType="separate"/>
      </w:r>
      <w:r>
        <w:rPr>
          <w:rFonts w:hint="eastAsia" w:ascii="仿宋" w:hAnsi="仿宋" w:eastAsia="仿宋"/>
        </w:rPr>
        <w:t>二、 评审方法</w:t>
      </w:r>
      <w:r>
        <w:tab/>
      </w:r>
      <w:r>
        <w:fldChar w:fldCharType="begin"/>
      </w:r>
      <w:r>
        <w:instrText xml:space="preserve"> PAGEREF _Toc16790 \h </w:instrText>
      </w:r>
      <w:r>
        <w:fldChar w:fldCharType="separate"/>
      </w:r>
      <w:r>
        <w:t>47</w:t>
      </w:r>
      <w:r>
        <w:fldChar w:fldCharType="end"/>
      </w:r>
      <w:r>
        <w:fldChar w:fldCharType="end"/>
      </w:r>
    </w:p>
    <w:p>
      <w:pPr>
        <w:pStyle w:val="26"/>
        <w:tabs>
          <w:tab w:val="right" w:leader="dot" w:pos="8628"/>
        </w:tabs>
        <w:ind w:left="480"/>
      </w:pPr>
      <w:r>
        <w:fldChar w:fldCharType="begin"/>
      </w:r>
      <w:r>
        <w:instrText xml:space="preserve"> HYPERLINK \l "_Toc5112" </w:instrText>
      </w:r>
      <w:r>
        <w:fldChar w:fldCharType="separate"/>
      </w:r>
      <w:r>
        <w:rPr>
          <w:rFonts w:hint="eastAsia" w:ascii="仿宋" w:hAnsi="仿宋" w:eastAsia="仿宋"/>
        </w:rPr>
        <w:t>三、 评审标准</w:t>
      </w:r>
      <w:r>
        <w:tab/>
      </w:r>
      <w:r>
        <w:fldChar w:fldCharType="begin"/>
      </w:r>
      <w:r>
        <w:instrText xml:space="preserve"> PAGEREF _Toc5112 \h </w:instrText>
      </w:r>
      <w:r>
        <w:fldChar w:fldCharType="separate"/>
      </w:r>
      <w:r>
        <w:t>48</w:t>
      </w:r>
      <w:r>
        <w:fldChar w:fldCharType="end"/>
      </w:r>
      <w:r>
        <w:fldChar w:fldCharType="end"/>
      </w:r>
    </w:p>
    <w:p>
      <w:pPr>
        <w:pStyle w:val="26"/>
        <w:tabs>
          <w:tab w:val="right" w:leader="dot" w:pos="8628"/>
        </w:tabs>
        <w:ind w:left="480"/>
      </w:pPr>
      <w:r>
        <w:fldChar w:fldCharType="begin"/>
      </w:r>
      <w:r>
        <w:instrText xml:space="preserve"> HYPERLINK \l "_Toc13843" </w:instrText>
      </w:r>
      <w:r>
        <w:fldChar w:fldCharType="separate"/>
      </w:r>
      <w:r>
        <w:rPr>
          <w:rFonts w:hint="eastAsia" w:ascii="仿宋" w:hAnsi="仿宋" w:eastAsia="仿宋"/>
        </w:rPr>
        <w:t>四、 评审纪律</w:t>
      </w:r>
      <w:r>
        <w:tab/>
      </w:r>
      <w:r>
        <w:fldChar w:fldCharType="begin"/>
      </w:r>
      <w:r>
        <w:instrText xml:space="preserve"> PAGEREF _Toc13843 \h </w:instrText>
      </w:r>
      <w:r>
        <w:fldChar w:fldCharType="separate"/>
      </w:r>
      <w:r>
        <w:t>51</w:t>
      </w:r>
      <w:r>
        <w:fldChar w:fldCharType="end"/>
      </w:r>
      <w:r>
        <w:fldChar w:fldCharType="end"/>
      </w:r>
    </w:p>
    <w:p>
      <w:pPr>
        <w:pStyle w:val="21"/>
        <w:tabs>
          <w:tab w:val="right" w:leader="dot" w:pos="8628"/>
        </w:tabs>
      </w:pPr>
      <w:r>
        <w:fldChar w:fldCharType="begin"/>
      </w:r>
      <w:r>
        <w:instrText xml:space="preserve"> HYPERLINK \l "_Toc31149" </w:instrText>
      </w:r>
      <w:r>
        <w:fldChar w:fldCharType="separate"/>
      </w:r>
      <w:r>
        <w:rPr>
          <w:rFonts w:hint="eastAsia"/>
        </w:rPr>
        <w:t>第七章 采购合同（草案）</w:t>
      </w:r>
      <w:r>
        <w:tab/>
      </w:r>
      <w:r>
        <w:fldChar w:fldCharType="begin"/>
      </w:r>
      <w:r>
        <w:instrText xml:space="preserve"> PAGEREF _Toc31149 \h </w:instrText>
      </w:r>
      <w:r>
        <w:fldChar w:fldCharType="separate"/>
      </w:r>
      <w:r>
        <w:t>53</w:t>
      </w:r>
      <w:r>
        <w:fldChar w:fldCharType="end"/>
      </w:r>
      <w:r>
        <w:fldChar w:fldCharType="end"/>
      </w:r>
    </w:p>
    <w:p>
      <w:pPr>
        <w:pStyle w:val="51"/>
      </w:pPr>
      <w:r>
        <w:rPr>
          <w:rFonts w:cs="Times New Roman"/>
          <w:szCs w:val="24"/>
        </w:rPr>
        <w:fldChar w:fldCharType="end"/>
      </w:r>
    </w:p>
    <w:p>
      <w:pPr>
        <w:pStyle w:val="51"/>
        <w:sectPr>
          <w:headerReference r:id="rId7" w:type="first"/>
          <w:footerReference r:id="rId10" w:type="first"/>
          <w:headerReference r:id="rId5" w:type="default"/>
          <w:footerReference r:id="rId8" w:type="default"/>
          <w:headerReference r:id="rId6" w:type="even"/>
          <w:footerReference r:id="rId9" w:type="even"/>
          <w:pgSz w:w="11906" w:h="16838"/>
          <w:pgMar w:top="1418" w:right="1639" w:bottom="1418" w:left="1639" w:header="680" w:footer="992" w:gutter="0"/>
          <w:pgNumType w:fmt="upperRoman" w:start="1"/>
          <w:cols w:space="425" w:num="1"/>
          <w:docGrid w:type="lines" w:linePitch="326" w:charSpace="0"/>
        </w:sectPr>
      </w:pPr>
    </w:p>
    <w:p>
      <w:pPr>
        <w:pStyle w:val="3"/>
      </w:pPr>
      <w:bookmarkStart w:id="0" w:name="_Toc12144"/>
      <w:r>
        <w:rPr>
          <w:rFonts w:hint="eastAsia"/>
        </w:rPr>
        <w:t>磋商邀请</w:t>
      </w:r>
      <w:bookmarkEnd w:id="0"/>
    </w:p>
    <w:p>
      <w:pPr>
        <w:ind w:firstLine="482"/>
      </w:pPr>
      <w:r>
        <w:rPr>
          <w:rFonts w:hint="eastAsia"/>
          <w:b/>
        </w:rPr>
        <w:t>四川省农村科技发展中心</w:t>
      </w:r>
      <w:r>
        <w:rPr>
          <w:rFonts w:hint="eastAsia"/>
        </w:rPr>
        <w:t>拟对</w:t>
      </w:r>
      <w:r>
        <w:rPr>
          <w:rFonts w:hint="eastAsia"/>
          <w:b/>
        </w:rPr>
        <w:t>四川省农村科技发展中心内控信息化管理平台建设项目</w:t>
      </w:r>
      <w:r>
        <w:rPr>
          <w:rFonts w:hint="eastAsia"/>
        </w:rPr>
        <w:t>采用</w:t>
      </w:r>
      <w:r>
        <w:rPr>
          <w:rFonts w:hint="eastAsia"/>
          <w:b/>
        </w:rPr>
        <w:t>竞争性磋商</w:t>
      </w:r>
      <w:r>
        <w:rPr>
          <w:rFonts w:hint="eastAsia"/>
        </w:rPr>
        <w:t>的采购方式进行采购，特邀请符合本次采购要求的供应商参加本项目的采购活动。</w:t>
      </w:r>
    </w:p>
    <w:p>
      <w:pPr>
        <w:pStyle w:val="4"/>
        <w:rPr>
          <w:rFonts w:ascii="仿宋" w:hAnsi="仿宋" w:eastAsia="仿宋"/>
        </w:rPr>
      </w:pPr>
      <w:bookmarkStart w:id="1" w:name="_Toc13964"/>
      <w:bookmarkStart w:id="2" w:name="_Toc87641132"/>
      <w:r>
        <w:rPr>
          <w:rFonts w:hint="eastAsia" w:ascii="仿宋" w:hAnsi="仿宋" w:eastAsia="仿宋"/>
        </w:rPr>
        <w:t>采购项目基本情况</w:t>
      </w:r>
      <w:bookmarkEnd w:id="1"/>
      <w:bookmarkEnd w:id="2"/>
    </w:p>
    <w:p>
      <w:pPr>
        <w:pStyle w:val="51"/>
        <w:rPr>
          <w:rFonts w:hint="eastAsia"/>
        </w:rPr>
      </w:pPr>
      <w:r>
        <w:rPr>
          <w:rFonts w:hint="eastAsia"/>
        </w:rPr>
        <w:t>项目名称：</w:t>
      </w:r>
      <w:r>
        <w:t>四川省农村科技发展中心</w:t>
      </w:r>
      <w:r>
        <w:rPr>
          <w:rFonts w:hint="eastAsia"/>
        </w:rPr>
        <w:t>内控信息化管理平台</w:t>
      </w:r>
      <w:r>
        <w:t>建设项目</w:t>
      </w:r>
      <w:r>
        <w:rPr>
          <w:rFonts w:hint="eastAsia"/>
        </w:rPr>
        <w:t>。</w:t>
      </w:r>
    </w:p>
    <w:p>
      <w:pPr>
        <w:pStyle w:val="4"/>
        <w:rPr>
          <w:rFonts w:ascii="仿宋" w:hAnsi="仿宋" w:eastAsia="仿宋"/>
        </w:rPr>
      </w:pPr>
      <w:bookmarkStart w:id="3" w:name="_Toc87641133"/>
      <w:bookmarkStart w:id="4" w:name="_Toc26014"/>
      <w:r>
        <w:rPr>
          <w:rFonts w:hint="eastAsia" w:ascii="仿宋" w:hAnsi="仿宋" w:eastAsia="仿宋"/>
        </w:rPr>
        <w:t>资金情况</w:t>
      </w:r>
      <w:bookmarkEnd w:id="3"/>
      <w:bookmarkEnd w:id="4"/>
    </w:p>
    <w:p>
      <w:pPr>
        <w:pStyle w:val="51"/>
      </w:pPr>
      <w:r>
        <w:rPr>
          <w:rFonts w:hint="eastAsia"/>
        </w:rPr>
        <w:t>资金来源：财政性资金。</w:t>
      </w:r>
    </w:p>
    <w:p>
      <w:pPr>
        <w:pStyle w:val="4"/>
        <w:rPr>
          <w:rFonts w:ascii="仿宋" w:hAnsi="仿宋" w:eastAsia="仿宋"/>
        </w:rPr>
      </w:pPr>
      <w:bookmarkStart w:id="5" w:name="_Toc87641134"/>
      <w:bookmarkStart w:id="6" w:name="_Toc21032"/>
      <w:r>
        <w:rPr>
          <w:rFonts w:hint="eastAsia" w:ascii="仿宋" w:hAnsi="仿宋" w:eastAsia="仿宋"/>
        </w:rPr>
        <w:t>项目简介</w:t>
      </w:r>
      <w:bookmarkEnd w:id="5"/>
      <w:bookmarkEnd w:id="6"/>
    </w:p>
    <w:tbl>
      <w:tblPr>
        <w:tblStyle w:val="3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4"/>
        <w:gridCol w:w="1559"/>
        <w:gridCol w:w="1418"/>
        <w:gridCol w:w="1843"/>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344" w:type="dxa"/>
            <w:shd w:val="clear" w:color="auto" w:fill="auto"/>
            <w:vAlign w:val="center"/>
          </w:tcPr>
          <w:p>
            <w:pPr>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项目名称</w:t>
            </w:r>
          </w:p>
        </w:tc>
        <w:tc>
          <w:tcPr>
            <w:tcW w:w="1559" w:type="dxa"/>
            <w:shd w:val="clear" w:color="auto" w:fill="auto"/>
            <w:vAlign w:val="center"/>
          </w:tcPr>
          <w:p>
            <w:pPr>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采购预算</w:t>
            </w:r>
          </w:p>
        </w:tc>
        <w:tc>
          <w:tcPr>
            <w:tcW w:w="1418" w:type="dxa"/>
            <w:shd w:val="clear" w:color="auto" w:fill="auto"/>
            <w:vAlign w:val="center"/>
          </w:tcPr>
          <w:p>
            <w:pPr>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最高限价</w:t>
            </w:r>
          </w:p>
        </w:tc>
        <w:tc>
          <w:tcPr>
            <w:tcW w:w="1843" w:type="dxa"/>
            <w:shd w:val="clear" w:color="auto" w:fill="auto"/>
            <w:vAlign w:val="center"/>
          </w:tcPr>
          <w:p>
            <w:pPr>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项目属性</w:t>
            </w:r>
          </w:p>
        </w:tc>
        <w:tc>
          <w:tcPr>
            <w:tcW w:w="1336" w:type="dxa"/>
            <w:shd w:val="clear" w:color="auto" w:fill="auto"/>
            <w:vAlign w:val="center"/>
          </w:tcPr>
          <w:p>
            <w:pPr>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jc w:val="center"/>
        </w:trPr>
        <w:tc>
          <w:tcPr>
            <w:tcW w:w="2344" w:type="dxa"/>
            <w:shd w:val="clear" w:color="auto" w:fill="auto"/>
            <w:vAlign w:val="center"/>
          </w:tcPr>
          <w:p>
            <w:pPr>
              <w:ind w:firstLine="0" w:firstLineChars="0"/>
              <w:jc w:val="center"/>
              <w:rPr>
                <w:bCs/>
                <w:color w:val="000000" w:themeColor="text1"/>
                <w14:textFill>
                  <w14:solidFill>
                    <w14:schemeClr w14:val="tx1"/>
                  </w14:solidFill>
                </w14:textFill>
              </w:rPr>
            </w:pPr>
            <w:r>
              <w:rPr>
                <w:rFonts w:hint="eastAsia"/>
              </w:rPr>
              <w:t>内控信息化管理平台建设</w:t>
            </w:r>
          </w:p>
        </w:tc>
        <w:tc>
          <w:tcPr>
            <w:tcW w:w="1559" w:type="dxa"/>
            <w:shd w:val="clear" w:color="auto" w:fill="auto"/>
            <w:vAlign w:val="center"/>
          </w:tcPr>
          <w:p>
            <w:pPr>
              <w:ind w:firstLine="0" w:firstLineChars="0"/>
              <w:jc w:val="center"/>
              <w:rPr>
                <w:bCs/>
                <w:color w:val="000000" w:themeColor="text1"/>
                <w:highlight w:val="yellow"/>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28</w:t>
            </w:r>
            <w:r>
              <w:rPr>
                <w:rFonts w:hint="eastAsia"/>
                <w:bCs/>
                <w:color w:val="000000" w:themeColor="text1"/>
                <w:highlight w:val="none"/>
                <w14:textFill>
                  <w14:solidFill>
                    <w14:schemeClr w14:val="tx1"/>
                  </w14:solidFill>
                </w14:textFill>
              </w:rPr>
              <w:t>万元</w:t>
            </w:r>
          </w:p>
        </w:tc>
        <w:tc>
          <w:tcPr>
            <w:tcW w:w="1418" w:type="dxa"/>
            <w:shd w:val="clear" w:color="auto" w:fill="auto"/>
            <w:vAlign w:val="center"/>
          </w:tcPr>
          <w:p>
            <w:pPr>
              <w:ind w:firstLine="0" w:firstLineChars="0"/>
              <w:jc w:val="center"/>
              <w:rPr>
                <w:bCs/>
                <w:color w:val="000000" w:themeColor="text1"/>
                <w:highlight w:val="yellow"/>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28</w:t>
            </w:r>
            <w:r>
              <w:rPr>
                <w:rFonts w:hint="eastAsia"/>
                <w:bCs/>
                <w:color w:val="000000" w:themeColor="text1"/>
                <w:highlight w:val="none"/>
                <w14:textFill>
                  <w14:solidFill>
                    <w14:schemeClr w14:val="tx1"/>
                  </w14:solidFill>
                </w14:textFill>
              </w:rPr>
              <w:t>万元</w:t>
            </w:r>
          </w:p>
        </w:tc>
        <w:tc>
          <w:tcPr>
            <w:tcW w:w="1843" w:type="dxa"/>
            <w:shd w:val="clear" w:color="auto" w:fill="auto"/>
            <w:vAlign w:val="center"/>
          </w:tcPr>
          <w:p>
            <w:pPr>
              <w:ind w:firstLine="0" w:firstLineChars="0"/>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服务类</w:t>
            </w:r>
          </w:p>
        </w:tc>
        <w:tc>
          <w:tcPr>
            <w:tcW w:w="1336" w:type="dxa"/>
            <w:shd w:val="clear" w:color="auto" w:fill="auto"/>
            <w:vAlign w:val="center"/>
          </w:tcPr>
          <w:p>
            <w:pPr>
              <w:ind w:firstLine="0" w:firstLineChars="0"/>
              <w:jc w:val="center"/>
              <w:rPr>
                <w:bCs/>
                <w:color w:val="000000" w:themeColor="text1"/>
                <w14:textFill>
                  <w14:solidFill>
                    <w14:schemeClr w14:val="tx1"/>
                  </w14:solidFill>
                </w14:textFill>
              </w:rPr>
            </w:pPr>
            <w:r>
              <w:rPr>
                <w:rFonts w:hint="eastAsia"/>
                <w:b/>
                <w:bCs/>
                <w:color w:val="000000" w:themeColor="text1"/>
                <w14:textFill>
                  <w14:solidFill>
                    <w14:schemeClr w14:val="tx1"/>
                  </w14:solidFill>
                </w14:textFill>
              </w:rPr>
              <w:t>具体采购内容详见本文件第四章。</w:t>
            </w:r>
          </w:p>
        </w:tc>
      </w:tr>
    </w:tbl>
    <w:p>
      <w:pPr>
        <w:pStyle w:val="4"/>
        <w:rPr>
          <w:rFonts w:ascii="仿宋" w:hAnsi="仿宋" w:eastAsia="仿宋"/>
        </w:rPr>
      </w:pPr>
      <w:bookmarkStart w:id="7" w:name="_Toc2680"/>
      <w:bookmarkStart w:id="8" w:name="_Toc87641136"/>
      <w:r>
        <w:rPr>
          <w:rFonts w:hint="eastAsia" w:ascii="仿宋" w:hAnsi="仿宋" w:eastAsia="仿宋"/>
        </w:rPr>
        <w:t>供应商参加本次采购活动应具备下列条件（资格条件）</w:t>
      </w:r>
      <w:bookmarkEnd w:id="7"/>
      <w:bookmarkEnd w:id="8"/>
    </w:p>
    <w:p>
      <w:pPr>
        <w:ind w:right="-57" w:firstLine="720" w:firstLineChars="300"/>
      </w:pPr>
      <w:r>
        <w:rPr>
          <w:rFonts w:hint="eastAsia"/>
        </w:rPr>
        <w:t>（一）本项目的基本</w:t>
      </w:r>
      <w:r>
        <w:t>资格</w:t>
      </w:r>
      <w:r>
        <w:rPr>
          <w:rFonts w:hint="eastAsia"/>
        </w:rPr>
        <w:t>条件：</w:t>
      </w:r>
    </w:p>
    <w:p>
      <w:pPr>
        <w:ind w:right="-57" w:firstLine="720" w:firstLineChars="300"/>
      </w:pPr>
      <w:r>
        <w:t>1.具有独立承担民事责任的能力；</w:t>
      </w:r>
    </w:p>
    <w:p>
      <w:pPr>
        <w:ind w:right="-57" w:firstLine="720" w:firstLineChars="300"/>
      </w:pPr>
      <w:r>
        <w:t>2.具有良好的商业信誉和健全的财务会计制度；</w:t>
      </w:r>
    </w:p>
    <w:p>
      <w:pPr>
        <w:ind w:right="-57" w:firstLine="720" w:firstLineChars="300"/>
      </w:pPr>
      <w:r>
        <w:t>3.具有履行合同所必需的设备和专业技术能力；</w:t>
      </w:r>
    </w:p>
    <w:p>
      <w:pPr>
        <w:ind w:right="-57" w:firstLine="720" w:firstLineChars="300"/>
      </w:pPr>
      <w:r>
        <w:t>4.有依法缴纳税收和社会保障资金的良好记录；</w:t>
      </w:r>
    </w:p>
    <w:p>
      <w:pPr>
        <w:ind w:right="-57" w:firstLine="720" w:firstLineChars="300"/>
      </w:pPr>
      <w:r>
        <w:t>5.参加采购活动前三年内，在经营活动中没有重大违法记录；</w:t>
      </w:r>
    </w:p>
    <w:p>
      <w:pPr>
        <w:ind w:right="-57" w:firstLine="720" w:firstLineChars="300"/>
      </w:pPr>
      <w:r>
        <w:t>6.法律、行政法规规定的其他条件。</w:t>
      </w:r>
    </w:p>
    <w:p>
      <w:pPr>
        <w:ind w:right="-57" w:firstLine="720" w:firstLineChars="300"/>
      </w:pPr>
      <w:r>
        <w:rPr>
          <w:rFonts w:hint="eastAsia"/>
        </w:rPr>
        <w:t>（二）落实政府采购政策需满足的资格要求：无。</w:t>
      </w:r>
    </w:p>
    <w:p>
      <w:pPr>
        <w:ind w:right="-57" w:firstLine="720" w:firstLineChars="300"/>
      </w:pPr>
      <w:r>
        <w:rPr>
          <w:rFonts w:hint="eastAsia"/>
        </w:rPr>
        <w:t>（三）本项目的特定资格条件：无</w:t>
      </w:r>
    </w:p>
    <w:p>
      <w:pPr>
        <w:pStyle w:val="63"/>
        <w:numPr>
          <w:ilvl w:val="1"/>
          <w:numId w:val="5"/>
        </w:numPr>
        <w:ind w:right="-57" w:firstLine="720" w:firstLineChars="300"/>
      </w:pPr>
      <w:r>
        <w:rPr>
          <w:rFonts w:hint="eastAsia"/>
        </w:rPr>
        <w:t>按规定</w:t>
      </w:r>
      <w:r>
        <w:t>参与了本项目的报名。</w:t>
      </w:r>
    </w:p>
    <w:p>
      <w:pPr>
        <w:pStyle w:val="4"/>
        <w:rPr>
          <w:rFonts w:ascii="仿宋" w:hAnsi="仿宋" w:eastAsia="仿宋"/>
        </w:rPr>
      </w:pPr>
      <w:bookmarkStart w:id="9" w:name="_Toc87641137"/>
      <w:bookmarkStart w:id="10" w:name="_Toc26160"/>
      <w:r>
        <w:rPr>
          <w:rFonts w:hint="eastAsia" w:ascii="仿宋" w:hAnsi="仿宋" w:eastAsia="仿宋"/>
        </w:rPr>
        <w:t>磋商文件获取时间、地点</w:t>
      </w:r>
      <w:bookmarkEnd w:id="9"/>
      <w:r>
        <w:rPr>
          <w:rFonts w:hint="eastAsia" w:ascii="仿宋" w:hAnsi="仿宋" w:eastAsia="仿宋"/>
        </w:rPr>
        <w:t>及方式</w:t>
      </w:r>
      <w:bookmarkEnd w:id="10"/>
    </w:p>
    <w:p>
      <w:pPr>
        <w:ind w:firstLine="480"/>
      </w:pPr>
      <w:r>
        <w:rPr>
          <w:rFonts w:hint="eastAsia"/>
        </w:rPr>
        <w:t>获取磋商文件时间：自</w:t>
      </w:r>
      <w:r>
        <w:rPr>
          <w:highlight w:val="none"/>
        </w:rPr>
        <w:t>2022</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14</w:t>
      </w:r>
      <w:r>
        <w:rPr>
          <w:rFonts w:hint="eastAsia"/>
          <w:highlight w:val="none"/>
        </w:rPr>
        <w:t>日至</w:t>
      </w:r>
      <w:r>
        <w:rPr>
          <w:highlight w:val="none"/>
        </w:rPr>
        <w:t>2022</w:t>
      </w:r>
      <w:r>
        <w:rPr>
          <w:rFonts w:hint="eastAsia"/>
          <w:highlight w:val="none"/>
        </w:rPr>
        <w:t>年</w:t>
      </w:r>
      <w:r>
        <w:rPr>
          <w:rFonts w:hint="eastAsia"/>
          <w:highlight w:val="none"/>
          <w:lang w:val="en-US" w:eastAsia="zh-CN"/>
        </w:rPr>
        <w:t>10</w:t>
      </w:r>
      <w:r>
        <w:rPr>
          <w:rFonts w:hint="eastAsia"/>
          <w:highlight w:val="none"/>
        </w:rPr>
        <w:t>月</w:t>
      </w:r>
      <w:r>
        <w:rPr>
          <w:rFonts w:hint="eastAsia"/>
          <w:highlight w:val="none"/>
          <w:lang w:val="en-US" w:eastAsia="zh-CN"/>
        </w:rPr>
        <w:t>19</w:t>
      </w:r>
      <w:r>
        <w:rPr>
          <w:rFonts w:hint="eastAsia"/>
          <w:highlight w:val="none"/>
        </w:rPr>
        <w:t>日</w:t>
      </w:r>
      <w:r>
        <w:rPr>
          <w:rFonts w:hint="eastAsia"/>
          <w:bCs/>
        </w:rPr>
        <w:t>09</w:t>
      </w:r>
      <w:r>
        <w:rPr>
          <w:bCs/>
        </w:rPr>
        <w:t>:00-17:00</w:t>
      </w:r>
      <w:r>
        <w:rPr>
          <w:szCs w:val="28"/>
        </w:rPr>
        <w:t>（</w:t>
      </w:r>
      <w:r>
        <w:rPr>
          <w:rFonts w:hint="eastAsia"/>
          <w:szCs w:val="28"/>
        </w:rPr>
        <w:t>法定节假日除外</w:t>
      </w:r>
      <w:r>
        <w:rPr>
          <w:szCs w:val="28"/>
        </w:rPr>
        <w:t>）</w:t>
      </w:r>
      <w:r>
        <w:rPr>
          <w:rFonts w:hint="eastAsia"/>
        </w:rPr>
        <w:t>。</w:t>
      </w:r>
    </w:p>
    <w:p>
      <w:pPr>
        <w:ind w:firstLine="480"/>
        <w:rPr>
          <w:szCs w:val="28"/>
        </w:rPr>
      </w:pPr>
      <w:r>
        <w:rPr>
          <w:rFonts w:hint="eastAsia"/>
          <w:szCs w:val="28"/>
        </w:rPr>
        <w:t>磋商文件售价：本磋商文件免费。（磋商资格不能转让）。</w:t>
      </w:r>
    </w:p>
    <w:p>
      <w:pPr>
        <w:ind w:firstLine="480"/>
        <w:rPr>
          <w:rFonts w:hint="default" w:eastAsia="仿宋"/>
          <w:szCs w:val="28"/>
          <w:lang w:val="en-US" w:eastAsia="zh-CN"/>
        </w:rPr>
      </w:pPr>
      <w:bookmarkStart w:id="11" w:name="_Toc87641138"/>
      <w:r>
        <w:rPr>
          <w:szCs w:val="28"/>
        </w:rPr>
        <w:t>获取磋商文件的方式：</w:t>
      </w:r>
      <w:r>
        <w:rPr>
          <w:rFonts w:hint="eastAsia"/>
          <w:szCs w:val="28"/>
          <w:lang w:val="en-US" w:eastAsia="zh-CN"/>
        </w:rPr>
        <w:t>附件下载</w:t>
      </w:r>
    </w:p>
    <w:p>
      <w:pPr>
        <w:ind w:right="240" w:firstLine="480"/>
        <w:rPr>
          <w:highlight w:val="yellow"/>
        </w:rPr>
      </w:pPr>
      <w:r>
        <w:rPr>
          <w:rFonts w:hint="eastAsia"/>
          <w:highlight w:val="none"/>
        </w:rPr>
        <w:t>（1）现场获取地址：</w:t>
      </w:r>
      <w:r>
        <w:rPr>
          <w:rFonts w:hint="eastAsia"/>
          <w:color w:val="000000"/>
          <w:highlight w:val="none"/>
        </w:rPr>
        <w:t>成都市人民南路四段11号</w:t>
      </w:r>
      <w:r>
        <w:rPr>
          <w:rFonts w:hint="eastAsia"/>
          <w:color w:val="000000"/>
          <w:highlight w:val="none"/>
          <w:lang w:val="en-US" w:eastAsia="zh-CN"/>
        </w:rPr>
        <w:t>706</w:t>
      </w:r>
      <w:r>
        <w:rPr>
          <w:rFonts w:hint="eastAsia"/>
          <w:color w:val="000000"/>
          <w:highlight w:val="none"/>
        </w:rPr>
        <w:t>房间</w:t>
      </w:r>
    </w:p>
    <w:p>
      <w:pPr>
        <w:ind w:firstLine="480"/>
        <w:rPr>
          <w:szCs w:val="28"/>
        </w:rPr>
      </w:pPr>
      <w:r>
        <w:rPr>
          <w:rFonts w:hint="eastAsia"/>
          <w:szCs w:val="28"/>
        </w:rPr>
        <w:t>（</w:t>
      </w:r>
      <w:r>
        <w:rPr>
          <w:szCs w:val="28"/>
        </w:rPr>
        <w:t>2</w:t>
      </w:r>
      <w:r>
        <w:rPr>
          <w:rFonts w:hint="eastAsia"/>
          <w:szCs w:val="28"/>
        </w:rPr>
        <w:t>）网上(远程)办理：因为疫情原因，供应商提供针对本项目的《单位介绍信》(附法人及经办人身份证复印件、经办人联系方式及邮箱)加盖供应商单位公章后扫描成图片发送至</w:t>
      </w:r>
      <w:r>
        <w:rPr>
          <w:rFonts w:hint="eastAsia"/>
          <w:szCs w:val="28"/>
          <w:highlight w:val="none"/>
        </w:rPr>
        <w:t>404842814@qq.com</w:t>
      </w:r>
      <w:r>
        <w:rPr>
          <w:rFonts w:hint="eastAsia"/>
          <w:szCs w:val="28"/>
        </w:rPr>
        <w:t>邮箱，经采购人审核后将磋商文件发送至报名供应商邮箱。</w:t>
      </w:r>
    </w:p>
    <w:p>
      <w:pPr>
        <w:ind w:firstLine="480"/>
        <w:rPr>
          <w:rFonts w:hint="default" w:eastAsia="仿宋"/>
          <w:szCs w:val="28"/>
          <w:lang w:val="en-US" w:eastAsia="zh-CN"/>
        </w:rPr>
      </w:pPr>
      <w:r>
        <w:rPr>
          <w:rFonts w:hint="eastAsia"/>
          <w:szCs w:val="28"/>
        </w:rPr>
        <w:t>报名咨询电话：0</w:t>
      </w:r>
      <w:r>
        <w:rPr>
          <w:szCs w:val="28"/>
        </w:rPr>
        <w:t>28</w:t>
      </w:r>
      <w:r>
        <w:rPr>
          <w:rFonts w:hint="eastAsia"/>
          <w:szCs w:val="28"/>
        </w:rPr>
        <w:t>-</w:t>
      </w:r>
      <w:r>
        <w:rPr>
          <w:rFonts w:hint="eastAsia"/>
          <w:kern w:val="0"/>
          <w:szCs w:val="21"/>
        </w:rPr>
        <w:t>85283064</w:t>
      </w:r>
    </w:p>
    <w:p>
      <w:pPr>
        <w:pStyle w:val="4"/>
        <w:rPr>
          <w:rFonts w:ascii="仿宋" w:hAnsi="仿宋" w:eastAsia="仿宋"/>
        </w:rPr>
      </w:pPr>
      <w:bookmarkStart w:id="12" w:name="_Toc2491"/>
      <w:r>
        <w:rPr>
          <w:rFonts w:hint="eastAsia" w:ascii="仿宋" w:hAnsi="仿宋" w:eastAsia="仿宋"/>
        </w:rPr>
        <w:t>递交响应文件</w:t>
      </w:r>
      <w:bookmarkEnd w:id="11"/>
      <w:bookmarkEnd w:id="12"/>
    </w:p>
    <w:p>
      <w:pPr>
        <w:pStyle w:val="51"/>
        <w:ind w:firstLine="424" w:firstLineChars="177"/>
      </w:pPr>
      <w:r>
        <w:rPr>
          <w:rFonts w:hint="eastAsia"/>
        </w:rPr>
        <w:t>递交响应文件截止及响应文件开启时间：</w:t>
      </w:r>
      <w:r>
        <w:rPr>
          <w:highlight w:val="none"/>
        </w:rPr>
        <w:t>2022年</w:t>
      </w:r>
      <w:r>
        <w:rPr>
          <w:rFonts w:hint="eastAsia"/>
          <w:highlight w:val="none"/>
          <w:lang w:val="en-US" w:eastAsia="zh-CN"/>
        </w:rPr>
        <w:t>10</w:t>
      </w:r>
      <w:r>
        <w:rPr>
          <w:highlight w:val="none"/>
        </w:rPr>
        <w:t>月</w:t>
      </w:r>
      <w:r>
        <w:rPr>
          <w:rFonts w:hint="eastAsia"/>
          <w:highlight w:val="none"/>
          <w:lang w:val="en-US" w:eastAsia="zh-CN"/>
        </w:rPr>
        <w:t>20</w:t>
      </w:r>
      <w:r>
        <w:rPr>
          <w:highlight w:val="none"/>
        </w:rPr>
        <w:t>日</w:t>
      </w:r>
      <w:r>
        <w:rPr>
          <w:rFonts w:hint="eastAsia"/>
          <w:highlight w:val="none"/>
          <w:lang w:val="en-US" w:eastAsia="zh-CN"/>
        </w:rPr>
        <w:t>1</w:t>
      </w:r>
      <w:r>
        <w:rPr>
          <w:rFonts w:hint="eastAsia"/>
          <w:lang w:val="en-US" w:eastAsia="zh-CN"/>
        </w:rPr>
        <w:t>0</w:t>
      </w:r>
      <w:r>
        <w:t>:30</w:t>
      </w:r>
      <w:r>
        <w:rPr>
          <w:rFonts w:hint="eastAsia"/>
        </w:rPr>
        <w:t>。</w:t>
      </w:r>
    </w:p>
    <w:p>
      <w:pPr>
        <w:pStyle w:val="51"/>
        <w:ind w:firstLine="424" w:firstLineChars="177"/>
      </w:pPr>
      <w:r>
        <w:rPr>
          <w:rFonts w:hint="eastAsia"/>
        </w:rPr>
        <w:t>递交响应文件及</w:t>
      </w:r>
      <w:r>
        <w:t>响应文件开启</w:t>
      </w:r>
      <w:r>
        <w:rPr>
          <w:rFonts w:hint="eastAsia"/>
        </w:rPr>
        <w:t>地点：</w:t>
      </w:r>
      <w:r>
        <w:rPr>
          <w:rFonts w:hint="eastAsia"/>
          <w:color w:val="000000"/>
          <w:highlight w:val="none"/>
        </w:rPr>
        <w:t>成都市人民南路四段11号</w:t>
      </w:r>
      <w:r>
        <w:rPr>
          <w:rFonts w:hint="eastAsia"/>
          <w:color w:val="000000"/>
          <w:highlight w:val="none"/>
          <w:lang w:val="en-US" w:eastAsia="zh-CN"/>
        </w:rPr>
        <w:t>4楼会议室</w:t>
      </w:r>
      <w:r>
        <w:t>。</w:t>
      </w:r>
    </w:p>
    <w:p>
      <w:pPr>
        <w:ind w:firstLine="480"/>
      </w:pPr>
      <w:r>
        <w:rPr>
          <w:rFonts w:hint="eastAsia"/>
        </w:rPr>
        <w:t>响应文件必须在递交响应文件截止时间前送达至递交响应文件地点。逾期送达或未按要求密封、标注的响应文件恕不接收，本项目不接收邮寄的响应文件。</w:t>
      </w:r>
    </w:p>
    <w:p>
      <w:pPr>
        <w:pStyle w:val="4"/>
        <w:rPr>
          <w:rFonts w:ascii="仿宋" w:hAnsi="仿宋" w:eastAsia="仿宋"/>
        </w:rPr>
      </w:pPr>
      <w:bookmarkStart w:id="13" w:name="_Toc87641140"/>
      <w:bookmarkStart w:id="14" w:name="_Toc27887"/>
      <w:r>
        <w:rPr>
          <w:rFonts w:hint="eastAsia" w:ascii="仿宋" w:hAnsi="仿宋" w:eastAsia="仿宋"/>
        </w:rPr>
        <w:t>采购组织单位联系方式</w:t>
      </w:r>
      <w:bookmarkEnd w:id="13"/>
      <w:bookmarkEnd w:id="14"/>
    </w:p>
    <w:p>
      <w:pPr>
        <w:ind w:right="240" w:firstLine="480"/>
        <w:rPr>
          <w:bCs/>
          <w:highlight w:val="yellow"/>
        </w:rPr>
      </w:pPr>
      <w:r>
        <w:rPr>
          <w:rFonts w:hint="eastAsia"/>
        </w:rPr>
        <w:t>采 购 人：四川省农村科技发展中心</w:t>
      </w:r>
    </w:p>
    <w:p>
      <w:pPr>
        <w:ind w:right="240" w:firstLine="480"/>
        <w:rPr>
          <w:highlight w:val="none"/>
        </w:rPr>
      </w:pPr>
      <w:r>
        <w:rPr>
          <w:rFonts w:hint="eastAsia"/>
          <w:highlight w:val="none"/>
        </w:rPr>
        <w:t>通讯地址：</w:t>
      </w:r>
      <w:r>
        <w:rPr>
          <w:rFonts w:hint="eastAsia"/>
          <w:color w:val="000000"/>
          <w:highlight w:val="none"/>
        </w:rPr>
        <w:t>成都市人民南路四段11号</w:t>
      </w:r>
    </w:p>
    <w:p>
      <w:pPr>
        <w:ind w:right="240" w:firstLine="480"/>
        <w:rPr>
          <w:highlight w:val="none"/>
        </w:rPr>
      </w:pPr>
      <w:r>
        <w:rPr>
          <w:rFonts w:hint="eastAsia"/>
          <w:highlight w:val="none"/>
        </w:rPr>
        <w:t>联 系 人：</w:t>
      </w:r>
      <w:r>
        <w:rPr>
          <w:rFonts w:hint="eastAsia"/>
          <w:highlight w:val="none"/>
          <w:lang w:val="en-US" w:eastAsia="zh-CN"/>
        </w:rPr>
        <w:t>贺</w:t>
      </w:r>
      <w:r>
        <w:rPr>
          <w:rFonts w:hint="eastAsia"/>
          <w:highlight w:val="none"/>
        </w:rPr>
        <w:t>老师</w:t>
      </w:r>
    </w:p>
    <w:p>
      <w:pPr>
        <w:ind w:right="240" w:firstLine="480"/>
      </w:pPr>
      <w:r>
        <w:rPr>
          <w:rFonts w:hint="eastAsia"/>
          <w:highlight w:val="none"/>
        </w:rPr>
        <w:t>联系电话：028-</w:t>
      </w:r>
      <w:r>
        <w:rPr>
          <w:rFonts w:hint="eastAsia"/>
          <w:kern w:val="0"/>
          <w:szCs w:val="21"/>
          <w:highlight w:val="none"/>
        </w:rPr>
        <w:t>85283064</w:t>
      </w:r>
    </w:p>
    <w:p>
      <w:pPr>
        <w:ind w:right="240" w:firstLine="480"/>
      </w:pPr>
    </w:p>
    <w:p>
      <w:pPr>
        <w:widowControl/>
        <w:spacing w:line="240" w:lineRule="auto"/>
        <w:ind w:firstLine="0" w:firstLineChars="0"/>
        <w:jc w:val="left"/>
        <w:rPr>
          <w:rFonts w:cs="宋体"/>
          <w:color w:val="000000"/>
          <w:kern w:val="0"/>
        </w:rPr>
      </w:pPr>
      <w:r>
        <w:rPr>
          <w:rFonts w:cs="宋体"/>
          <w:color w:val="000000"/>
          <w:kern w:val="0"/>
        </w:rPr>
        <w:br w:type="page"/>
      </w:r>
    </w:p>
    <w:p>
      <w:pPr>
        <w:pStyle w:val="3"/>
      </w:pPr>
      <w:bookmarkStart w:id="15" w:name="_Toc17413"/>
      <w:r>
        <w:rPr>
          <w:rFonts w:hint="eastAsia"/>
        </w:rPr>
        <w:t>磋商须知</w:t>
      </w:r>
      <w:bookmarkEnd w:id="15"/>
    </w:p>
    <w:p>
      <w:pPr>
        <w:pStyle w:val="4"/>
        <w:numPr>
          <w:ilvl w:val="0"/>
          <w:numId w:val="6"/>
        </w:numPr>
        <w:rPr>
          <w:rFonts w:ascii="仿宋" w:hAnsi="仿宋" w:eastAsia="仿宋"/>
        </w:rPr>
      </w:pPr>
      <w:bookmarkStart w:id="16" w:name="_Toc15903"/>
      <w:r>
        <w:rPr>
          <w:rFonts w:hint="eastAsia" w:ascii="仿宋" w:hAnsi="仿宋" w:eastAsia="仿宋"/>
        </w:rPr>
        <w:t>供应商须知附表</w:t>
      </w:r>
      <w:bookmarkEnd w:id="16"/>
    </w:p>
    <w:tbl>
      <w:tblPr>
        <w:tblStyle w:val="32"/>
        <w:tblW w:w="112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22"/>
        <w:gridCol w:w="2240"/>
        <w:gridCol w:w="83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blHeader/>
          <w:jc w:val="center"/>
        </w:trPr>
        <w:tc>
          <w:tcPr>
            <w:tcW w:w="722" w:type="dxa"/>
            <w:vAlign w:val="center"/>
          </w:tcPr>
          <w:p>
            <w:pPr>
              <w:pStyle w:val="51"/>
              <w:spacing w:line="240" w:lineRule="auto"/>
              <w:jc w:val="center"/>
              <w:rPr>
                <w:b/>
              </w:rPr>
            </w:pPr>
            <w:r>
              <w:rPr>
                <w:rFonts w:hint="eastAsia"/>
                <w:b/>
              </w:rPr>
              <w:t>序号</w:t>
            </w:r>
          </w:p>
        </w:tc>
        <w:tc>
          <w:tcPr>
            <w:tcW w:w="2240" w:type="dxa"/>
            <w:vAlign w:val="center"/>
          </w:tcPr>
          <w:p>
            <w:pPr>
              <w:pStyle w:val="51"/>
              <w:spacing w:line="240" w:lineRule="auto"/>
              <w:jc w:val="center"/>
              <w:rPr>
                <w:b/>
              </w:rPr>
            </w:pPr>
            <w:r>
              <w:rPr>
                <w:rFonts w:hint="eastAsia"/>
                <w:b/>
              </w:rPr>
              <w:t>应知事项</w:t>
            </w:r>
          </w:p>
        </w:tc>
        <w:tc>
          <w:tcPr>
            <w:tcW w:w="8329" w:type="dxa"/>
            <w:vAlign w:val="center"/>
          </w:tcPr>
          <w:p>
            <w:pPr>
              <w:pStyle w:val="51"/>
              <w:spacing w:line="240" w:lineRule="auto"/>
              <w:jc w:val="center"/>
              <w:rPr>
                <w:b/>
              </w:rPr>
            </w:pPr>
            <w:r>
              <w:rPr>
                <w:rFonts w:hint="eastAsia"/>
                <w:b/>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722" w:type="dxa"/>
            <w:vAlign w:val="center"/>
          </w:tcPr>
          <w:p>
            <w:pPr>
              <w:pStyle w:val="51"/>
              <w:numPr>
                <w:ilvl w:val="0"/>
                <w:numId w:val="7"/>
              </w:numPr>
              <w:jc w:val="center"/>
            </w:pPr>
          </w:p>
        </w:tc>
        <w:tc>
          <w:tcPr>
            <w:tcW w:w="2240" w:type="dxa"/>
            <w:vAlign w:val="center"/>
          </w:tcPr>
          <w:p>
            <w:pPr>
              <w:pStyle w:val="51"/>
              <w:spacing w:line="240" w:lineRule="auto"/>
              <w:jc w:val="center"/>
            </w:pPr>
            <w:r>
              <w:rPr>
                <w:rFonts w:hint="eastAsia"/>
              </w:rPr>
              <w:t>确定邀请参加采购活动的供应商数量和方式</w:t>
            </w:r>
          </w:p>
        </w:tc>
        <w:tc>
          <w:tcPr>
            <w:tcW w:w="8329" w:type="dxa"/>
            <w:vAlign w:val="center"/>
          </w:tcPr>
          <w:p>
            <w:pPr>
              <w:pStyle w:val="51"/>
              <w:spacing w:line="240" w:lineRule="auto"/>
              <w:rPr>
                <w:highlight w:val="yellow"/>
              </w:rPr>
            </w:pPr>
            <w:r>
              <w:rPr>
                <w:rFonts w:hint="eastAsia"/>
              </w:rPr>
              <w:t>公告方式，本次磋商邀请在四川省农村科技发展中心官网</w:t>
            </w:r>
            <w:r>
              <w:t>上以公告形式发布，供应商的数量为报名并参加采购活动的数量。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722" w:type="dxa"/>
            <w:vAlign w:val="center"/>
          </w:tcPr>
          <w:p>
            <w:pPr>
              <w:pStyle w:val="51"/>
              <w:numPr>
                <w:ilvl w:val="0"/>
                <w:numId w:val="7"/>
              </w:numPr>
              <w:jc w:val="center"/>
            </w:pPr>
          </w:p>
        </w:tc>
        <w:tc>
          <w:tcPr>
            <w:tcW w:w="2240" w:type="dxa"/>
            <w:vAlign w:val="center"/>
          </w:tcPr>
          <w:p>
            <w:pPr>
              <w:pStyle w:val="59"/>
              <w:jc w:val="center"/>
              <w:rPr>
                <w:rFonts w:ascii="仿宋" w:hAnsi="仿宋" w:eastAsia="仿宋"/>
                <w:b/>
              </w:rPr>
            </w:pPr>
            <w:r>
              <w:rPr>
                <w:rFonts w:hint="eastAsia" w:ascii="仿宋" w:hAnsi="仿宋" w:eastAsia="仿宋"/>
                <w:b/>
              </w:rPr>
              <w:t>采购预算</w:t>
            </w:r>
          </w:p>
          <w:p>
            <w:pPr>
              <w:pStyle w:val="59"/>
              <w:jc w:val="center"/>
              <w:rPr>
                <w:rFonts w:ascii="仿宋" w:hAnsi="仿宋" w:eastAsia="仿宋"/>
                <w:color w:val="000000"/>
                <w:lang w:val="zh-CN"/>
              </w:rPr>
            </w:pPr>
            <w:r>
              <w:rPr>
                <w:rFonts w:hint="eastAsia" w:ascii="仿宋" w:hAnsi="仿宋" w:eastAsia="仿宋"/>
                <w:b/>
                <w:bCs/>
              </w:rPr>
              <w:t>（实质性要求）</w:t>
            </w:r>
          </w:p>
        </w:tc>
        <w:tc>
          <w:tcPr>
            <w:tcW w:w="8329" w:type="dxa"/>
            <w:vAlign w:val="center"/>
          </w:tcPr>
          <w:p>
            <w:pPr>
              <w:pStyle w:val="59"/>
              <w:rPr>
                <w:rFonts w:ascii="仿宋" w:hAnsi="仿宋" w:eastAsia="仿宋"/>
                <w:color w:val="000000"/>
                <w:lang w:val="zh-CN"/>
              </w:rPr>
            </w:pPr>
            <w:r>
              <w:rPr>
                <w:rFonts w:ascii="仿宋" w:hAnsi="仿宋" w:eastAsia="仿宋"/>
                <w:bCs/>
              </w:rPr>
              <w:t>详见</w:t>
            </w:r>
            <w:r>
              <w:rPr>
                <w:rFonts w:hint="eastAsia" w:ascii="仿宋" w:hAnsi="仿宋" w:eastAsia="仿宋"/>
                <w:bCs/>
              </w:rPr>
              <w:t>“第一章 磋商邀请”、“三、项目简介”。</w:t>
            </w:r>
            <w:r>
              <w:rPr>
                <w:rFonts w:hint="eastAsia" w:ascii="仿宋" w:hAnsi="仿宋" w:eastAsia="仿宋"/>
              </w:rPr>
              <w:t>超过采购预算的报价为无效响应。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49" w:hRule="atLeast"/>
          <w:jc w:val="center"/>
        </w:trPr>
        <w:tc>
          <w:tcPr>
            <w:tcW w:w="722" w:type="dxa"/>
            <w:vAlign w:val="center"/>
          </w:tcPr>
          <w:p>
            <w:pPr>
              <w:pStyle w:val="51"/>
              <w:numPr>
                <w:ilvl w:val="0"/>
                <w:numId w:val="7"/>
              </w:numPr>
              <w:jc w:val="center"/>
            </w:pPr>
          </w:p>
        </w:tc>
        <w:tc>
          <w:tcPr>
            <w:tcW w:w="2240" w:type="dxa"/>
            <w:vAlign w:val="center"/>
          </w:tcPr>
          <w:p>
            <w:pPr>
              <w:pStyle w:val="59"/>
              <w:jc w:val="center"/>
              <w:rPr>
                <w:rFonts w:ascii="仿宋" w:hAnsi="仿宋" w:eastAsia="仿宋"/>
                <w:b/>
              </w:rPr>
            </w:pPr>
            <w:r>
              <w:rPr>
                <w:rFonts w:hint="eastAsia" w:ascii="仿宋" w:hAnsi="仿宋" w:eastAsia="仿宋"/>
                <w:b/>
              </w:rPr>
              <w:t>最高限价</w:t>
            </w:r>
          </w:p>
          <w:p>
            <w:pPr>
              <w:pStyle w:val="59"/>
              <w:jc w:val="center"/>
              <w:rPr>
                <w:rFonts w:ascii="仿宋" w:hAnsi="仿宋" w:eastAsia="仿宋"/>
                <w:color w:val="000000"/>
                <w:lang w:val="zh-CN"/>
              </w:rPr>
            </w:pPr>
            <w:r>
              <w:rPr>
                <w:rFonts w:hint="eastAsia" w:ascii="仿宋" w:hAnsi="仿宋" w:eastAsia="仿宋"/>
                <w:b/>
                <w:bCs/>
              </w:rPr>
              <w:t>（实质性要求）</w:t>
            </w:r>
          </w:p>
        </w:tc>
        <w:tc>
          <w:tcPr>
            <w:tcW w:w="8329" w:type="dxa"/>
            <w:vAlign w:val="center"/>
          </w:tcPr>
          <w:p>
            <w:pPr>
              <w:pStyle w:val="59"/>
              <w:rPr>
                <w:rFonts w:ascii="仿宋" w:hAnsi="仿宋" w:eastAsia="仿宋"/>
                <w:color w:val="000000"/>
                <w:lang w:val="zh-CN"/>
              </w:rPr>
            </w:pPr>
            <w:r>
              <w:rPr>
                <w:rFonts w:ascii="仿宋" w:hAnsi="仿宋" w:eastAsia="仿宋"/>
                <w:bCs/>
              </w:rPr>
              <w:t>详见</w:t>
            </w:r>
            <w:r>
              <w:rPr>
                <w:rFonts w:hint="eastAsia" w:ascii="仿宋" w:hAnsi="仿宋" w:eastAsia="仿宋"/>
                <w:bCs/>
              </w:rPr>
              <w:t>“第一章 磋商邀请”、“三、项目简介”。</w:t>
            </w:r>
            <w:r>
              <w:rPr>
                <w:rFonts w:hint="eastAsia" w:ascii="仿宋" w:hAnsi="仿宋" w:eastAsia="仿宋"/>
              </w:rPr>
              <w:t>超过最高限价的报价为无效响应。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722" w:type="dxa"/>
            <w:vAlign w:val="center"/>
          </w:tcPr>
          <w:p>
            <w:pPr>
              <w:pStyle w:val="51"/>
              <w:numPr>
                <w:ilvl w:val="0"/>
                <w:numId w:val="7"/>
              </w:numPr>
              <w:jc w:val="center"/>
            </w:pPr>
          </w:p>
        </w:tc>
        <w:tc>
          <w:tcPr>
            <w:tcW w:w="2240" w:type="dxa"/>
            <w:vAlign w:val="center"/>
          </w:tcPr>
          <w:p>
            <w:pPr>
              <w:pStyle w:val="59"/>
              <w:jc w:val="center"/>
              <w:rPr>
                <w:rFonts w:ascii="仿宋" w:hAnsi="仿宋" w:eastAsia="仿宋"/>
                <w:b/>
                <w:bCs/>
              </w:rPr>
            </w:pPr>
            <w:r>
              <w:rPr>
                <w:rFonts w:hint="eastAsia" w:ascii="仿宋" w:hAnsi="仿宋" w:eastAsia="仿宋"/>
                <w:b/>
                <w:bCs/>
              </w:rPr>
              <w:t>低于成本价不正当竞争预防措施</w:t>
            </w:r>
          </w:p>
          <w:p>
            <w:pPr>
              <w:pStyle w:val="59"/>
              <w:jc w:val="center"/>
              <w:rPr>
                <w:rFonts w:ascii="仿宋" w:hAnsi="仿宋" w:eastAsia="仿宋"/>
                <w:color w:val="000000"/>
                <w:lang w:val="zh-CN"/>
              </w:rPr>
            </w:pPr>
            <w:r>
              <w:rPr>
                <w:rFonts w:hint="eastAsia" w:ascii="仿宋" w:hAnsi="仿宋" w:eastAsia="仿宋"/>
                <w:b/>
                <w:bCs/>
              </w:rPr>
              <w:t>（实质性要求）</w:t>
            </w:r>
          </w:p>
        </w:tc>
        <w:tc>
          <w:tcPr>
            <w:tcW w:w="8329" w:type="dxa"/>
            <w:vAlign w:val="center"/>
          </w:tcPr>
          <w:p>
            <w:pPr>
              <w:pStyle w:val="59"/>
              <w:ind w:firstLine="480" w:firstLineChars="200"/>
              <w:rPr>
                <w:rFonts w:ascii="仿宋" w:hAnsi="仿宋" w:eastAsia="仿宋"/>
              </w:rPr>
            </w:pPr>
            <w:r>
              <w:rPr>
                <w:rFonts w:hint="eastAsia" w:ascii="仿宋" w:hAnsi="仿宋" w:eastAsia="仿宋"/>
              </w:rPr>
              <w:t>供应商在参加采购活动过程中，不得无偿或以低于所提供的货物、工程、服务的成本价格报价。评审委员会认为供应商的报价明显低于其他通过符合性审查供应商的报价，有可能影响产品质量或者不能诚信履约的，评审委员会应当要求其在评审现场合理的时间内提供书面说明，并提交相关证明材料。</w:t>
            </w:r>
          </w:p>
          <w:p>
            <w:pPr>
              <w:spacing w:line="240" w:lineRule="auto"/>
              <w:ind w:firstLine="480"/>
            </w:pPr>
            <w:r>
              <w:rPr>
                <w:rFonts w:hint="eastAsia"/>
              </w:rPr>
              <w:t>书面说明及相关证明材料应当按照国家财务会计制度的规定要求，逐项就供应商提供的货物、工程和服务的主营业务成本（应根据供应商企业类型予以区别）、税金及附加、销售费用、管理费用、财务费用等成本构成事项详细陈述。</w:t>
            </w:r>
          </w:p>
          <w:p>
            <w:pPr>
              <w:spacing w:line="240" w:lineRule="auto"/>
              <w:ind w:firstLine="480"/>
            </w:pPr>
            <w:r>
              <w:rPr>
                <w:rFonts w:hint="eastAsia"/>
              </w:rPr>
              <w:t>供应商的相关证明材料应当签字确认或者加盖公章，否则无效。关于签字确认，供应商为法人的，由其法定代表人或者代理人签字确认；供应商为其他组织的，由其主要负责人或者代理人签字确认；供应商为自然人的，由其本人或者代理人签字确认。</w:t>
            </w:r>
            <w:r>
              <w:t xml:space="preserve"> </w:t>
            </w:r>
          </w:p>
          <w:p>
            <w:pPr>
              <w:pStyle w:val="59"/>
              <w:ind w:firstLine="480" w:firstLineChars="200"/>
              <w:rPr>
                <w:rFonts w:ascii="仿宋" w:hAnsi="仿宋" w:eastAsia="仿宋"/>
                <w:color w:val="000000"/>
                <w:lang w:val="zh-CN"/>
              </w:rPr>
            </w:pPr>
            <w:r>
              <w:rPr>
                <w:rFonts w:hint="eastAsia" w:ascii="仿宋" w:hAnsi="仿宋" w:eastAsia="仿宋"/>
              </w:rPr>
              <w:t>供应商提供书面说明及证明材料后，评审委员会应当结合采购项目采购需求、专业实际情况、供应商财务状况报告与其他供应商比较情况等，就供应商书面说明进行审查评价。供应商拒绝或者变相拒绝（含未在约定的时间内提供书面说明及相关证明材料）或者相关证明材料不能证明其报价合理性的，评审委员会应当将其作为无效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722" w:type="dxa"/>
            <w:vAlign w:val="center"/>
          </w:tcPr>
          <w:p>
            <w:pPr>
              <w:pStyle w:val="51"/>
              <w:numPr>
                <w:ilvl w:val="0"/>
                <w:numId w:val="7"/>
              </w:numPr>
              <w:jc w:val="center"/>
            </w:pPr>
          </w:p>
        </w:tc>
        <w:tc>
          <w:tcPr>
            <w:tcW w:w="2240" w:type="dxa"/>
            <w:vAlign w:val="center"/>
          </w:tcPr>
          <w:p>
            <w:pPr>
              <w:pStyle w:val="58"/>
              <w:snapToGrid w:val="0"/>
              <w:ind w:left="38"/>
              <w:jc w:val="center"/>
              <w:rPr>
                <w:rFonts w:ascii="仿宋" w:hAnsi="仿宋" w:eastAsia="仿宋"/>
                <w:b/>
                <w:color w:val="000000"/>
                <w:lang w:val="zh-CN"/>
              </w:rPr>
            </w:pPr>
            <w:r>
              <w:rPr>
                <w:rFonts w:hint="eastAsia" w:ascii="仿宋" w:hAnsi="仿宋" w:eastAsia="仿宋"/>
                <w:b/>
                <w:color w:val="000000"/>
                <w:lang w:val="zh-CN"/>
              </w:rPr>
              <w:t>磋商保证金</w:t>
            </w:r>
          </w:p>
          <w:p>
            <w:pPr>
              <w:pStyle w:val="58"/>
              <w:snapToGrid w:val="0"/>
              <w:ind w:left="38"/>
              <w:jc w:val="center"/>
              <w:rPr>
                <w:rFonts w:ascii="仿宋" w:hAnsi="仿宋" w:eastAsia="仿宋"/>
                <w:b/>
                <w:bCs/>
              </w:rPr>
            </w:pPr>
            <w:r>
              <w:rPr>
                <w:rFonts w:hint="eastAsia" w:ascii="仿宋" w:hAnsi="仿宋" w:eastAsia="仿宋"/>
                <w:b/>
                <w:color w:val="000000"/>
                <w:lang w:val="zh-CN"/>
              </w:rPr>
              <w:t>（实质性要求）</w:t>
            </w:r>
          </w:p>
        </w:tc>
        <w:tc>
          <w:tcPr>
            <w:tcW w:w="8329" w:type="dxa"/>
            <w:vAlign w:val="center"/>
          </w:tcPr>
          <w:p>
            <w:pPr>
              <w:pStyle w:val="59"/>
              <w:ind w:firstLine="480" w:firstLineChars="200"/>
              <w:rPr>
                <w:rFonts w:ascii="仿宋" w:hAnsi="仿宋" w:eastAsia="仿宋"/>
                <w:bCs/>
              </w:rPr>
            </w:pPr>
            <w:r>
              <w:rPr>
                <w:rFonts w:hint="eastAsia" w:ascii="仿宋" w:hAnsi="仿宋" w:eastAsia="仿宋"/>
                <w:bCs/>
              </w:rPr>
              <w:t>本</w:t>
            </w:r>
            <w:r>
              <w:rPr>
                <w:rFonts w:ascii="仿宋" w:hAnsi="仿宋" w:eastAsia="仿宋"/>
                <w:bCs/>
              </w:rPr>
              <w:t>项目不作要求</w:t>
            </w:r>
            <w:r>
              <w:rPr>
                <w:rFonts w:hint="eastAsia" w:ascii="仿宋" w:hAnsi="仿宋" w:eastAsia="仿宋"/>
                <w:bC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722" w:type="dxa"/>
            <w:vAlign w:val="center"/>
          </w:tcPr>
          <w:p>
            <w:pPr>
              <w:pStyle w:val="51"/>
              <w:numPr>
                <w:ilvl w:val="0"/>
                <w:numId w:val="7"/>
              </w:numPr>
              <w:jc w:val="center"/>
            </w:pPr>
          </w:p>
        </w:tc>
        <w:tc>
          <w:tcPr>
            <w:tcW w:w="2240" w:type="dxa"/>
            <w:vAlign w:val="center"/>
          </w:tcPr>
          <w:p>
            <w:pPr>
              <w:pStyle w:val="58"/>
              <w:snapToGrid w:val="0"/>
              <w:ind w:left="38"/>
              <w:jc w:val="center"/>
              <w:rPr>
                <w:rFonts w:ascii="仿宋" w:hAnsi="仿宋" w:eastAsia="仿宋"/>
                <w:b/>
                <w:bCs/>
                <w:color w:val="000000"/>
                <w:lang w:val="zh-CN"/>
              </w:rPr>
            </w:pPr>
            <w:r>
              <w:rPr>
                <w:rFonts w:hint="eastAsia" w:ascii="仿宋" w:hAnsi="仿宋" w:eastAsia="仿宋"/>
                <w:b/>
                <w:bCs/>
                <w:color w:val="000000"/>
                <w:lang w:val="zh-CN"/>
              </w:rPr>
              <w:t>履约保证金</w:t>
            </w:r>
          </w:p>
          <w:p>
            <w:pPr>
              <w:pStyle w:val="58"/>
              <w:snapToGrid w:val="0"/>
              <w:ind w:left="38"/>
              <w:jc w:val="center"/>
              <w:rPr>
                <w:rFonts w:ascii="仿宋" w:hAnsi="仿宋" w:eastAsia="仿宋"/>
                <w:color w:val="000000"/>
                <w:lang w:val="zh-CN"/>
              </w:rPr>
            </w:pPr>
            <w:r>
              <w:rPr>
                <w:rFonts w:hint="eastAsia" w:ascii="仿宋" w:hAnsi="仿宋" w:eastAsia="仿宋"/>
                <w:b/>
                <w:bCs/>
                <w:color w:val="000000"/>
                <w:lang w:val="zh-CN"/>
              </w:rPr>
              <w:t>（</w:t>
            </w:r>
            <w:r>
              <w:rPr>
                <w:rFonts w:hint="eastAsia" w:ascii="仿宋" w:hAnsi="仿宋" w:eastAsia="仿宋"/>
                <w:b/>
                <w:bCs/>
                <w:color w:val="000000"/>
              </w:rPr>
              <w:t>实质性要求</w:t>
            </w:r>
            <w:r>
              <w:rPr>
                <w:rFonts w:hint="eastAsia" w:ascii="仿宋" w:hAnsi="仿宋" w:eastAsia="仿宋"/>
                <w:b/>
                <w:bCs/>
                <w:color w:val="000000"/>
                <w:lang w:val="zh-CN"/>
              </w:rPr>
              <w:t>）</w:t>
            </w:r>
          </w:p>
        </w:tc>
        <w:tc>
          <w:tcPr>
            <w:tcW w:w="8329" w:type="dxa"/>
            <w:vAlign w:val="center"/>
          </w:tcPr>
          <w:p>
            <w:pPr>
              <w:pStyle w:val="59"/>
              <w:ind w:firstLine="480" w:firstLineChars="200"/>
              <w:rPr>
                <w:rFonts w:ascii="仿宋" w:hAnsi="仿宋" w:eastAsia="仿宋"/>
                <w:highlight w:val="yellow"/>
              </w:rPr>
            </w:pPr>
            <w:r>
              <w:rPr>
                <w:rFonts w:hint="eastAsia" w:ascii="仿宋" w:hAnsi="仿宋" w:eastAsia="仿宋"/>
                <w:bCs/>
              </w:rPr>
              <w:t>本项目不作要求。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722" w:type="dxa"/>
            <w:vAlign w:val="center"/>
          </w:tcPr>
          <w:p>
            <w:pPr>
              <w:pStyle w:val="51"/>
              <w:numPr>
                <w:ilvl w:val="0"/>
                <w:numId w:val="7"/>
              </w:numPr>
              <w:jc w:val="center"/>
            </w:pPr>
          </w:p>
        </w:tc>
        <w:tc>
          <w:tcPr>
            <w:tcW w:w="2240" w:type="dxa"/>
            <w:vAlign w:val="center"/>
          </w:tcPr>
          <w:p>
            <w:pPr>
              <w:pStyle w:val="58"/>
              <w:snapToGrid w:val="0"/>
              <w:ind w:left="38"/>
              <w:jc w:val="center"/>
              <w:rPr>
                <w:rFonts w:ascii="仿宋" w:hAnsi="仿宋" w:eastAsia="仿宋"/>
                <w:b/>
                <w:bCs/>
                <w:color w:val="000000"/>
                <w:lang w:val="zh-CN"/>
              </w:rPr>
            </w:pPr>
            <w:r>
              <w:rPr>
                <w:rFonts w:hint="eastAsia" w:ascii="仿宋" w:hAnsi="仿宋" w:eastAsia="仿宋"/>
                <w:b/>
                <w:bCs/>
                <w:color w:val="000000"/>
                <w:lang w:val="zh-CN"/>
              </w:rPr>
              <w:t>合同分包</w:t>
            </w:r>
          </w:p>
          <w:p>
            <w:pPr>
              <w:pStyle w:val="58"/>
              <w:snapToGrid w:val="0"/>
              <w:ind w:left="38"/>
              <w:jc w:val="center"/>
              <w:rPr>
                <w:rFonts w:ascii="仿宋" w:hAnsi="仿宋" w:eastAsia="仿宋"/>
                <w:b/>
                <w:bCs/>
                <w:color w:val="000000"/>
                <w:lang w:val="zh-CN"/>
              </w:rPr>
            </w:pPr>
            <w:r>
              <w:rPr>
                <w:rFonts w:hint="eastAsia" w:ascii="仿宋" w:hAnsi="仿宋" w:eastAsia="仿宋"/>
                <w:b/>
                <w:bCs/>
                <w:color w:val="000000"/>
                <w:lang w:val="zh-CN"/>
              </w:rPr>
              <w:t>（实质性要求）</w:t>
            </w:r>
          </w:p>
        </w:tc>
        <w:tc>
          <w:tcPr>
            <w:tcW w:w="8329" w:type="dxa"/>
            <w:vAlign w:val="center"/>
          </w:tcPr>
          <w:p>
            <w:pPr>
              <w:pStyle w:val="59"/>
              <w:ind w:firstLine="17"/>
              <w:rPr>
                <w:rFonts w:ascii="仿宋" w:hAnsi="仿宋" w:eastAsia="仿宋"/>
                <w:b/>
              </w:rPr>
            </w:pPr>
            <w:r>
              <w:rPr>
                <w:rFonts w:hint="eastAsia" w:ascii="仿宋" w:hAnsi="仿宋" w:eastAsia="仿宋"/>
              </w:rPr>
              <w:t>一、本项目接受合同分包：</w:t>
            </w:r>
            <w:r>
              <w:rPr>
                <w:rFonts w:hint="eastAsia" w:ascii="仿宋" w:hAnsi="仿宋" w:eastAsia="仿宋"/>
                <w:b/>
              </w:rPr>
              <w:t>否</w:t>
            </w:r>
          </w:p>
          <w:p>
            <w:pPr>
              <w:pStyle w:val="59"/>
              <w:ind w:firstLine="17"/>
              <w:rPr>
                <w:rFonts w:ascii="仿宋" w:hAnsi="仿宋" w:eastAsia="仿宋"/>
              </w:rPr>
            </w:pPr>
            <w:r>
              <w:rPr>
                <w:rFonts w:hint="eastAsia" w:ascii="仿宋" w:hAnsi="仿宋" w:eastAsia="仿宋"/>
              </w:rPr>
              <w:t>二、接受合同分包的相关约定：1</w:t>
            </w:r>
            <w:r>
              <w:rPr>
                <w:rFonts w:ascii="仿宋" w:hAnsi="仿宋" w:eastAsia="仿宋"/>
              </w:rPr>
              <w:t>.</w:t>
            </w:r>
            <w:r>
              <w:rPr>
                <w:rFonts w:hint="eastAsia" w:ascii="仿宋" w:hAnsi="仿宋" w:eastAsia="仿宋"/>
              </w:rPr>
              <w:t>采购合同分包履行的，成交供应商就采购项目和分包项目向采购人负责，分包供应商就分包项目承担责任；</w:t>
            </w:r>
            <w:r>
              <w:rPr>
                <w:rFonts w:ascii="仿宋" w:hAnsi="仿宋" w:eastAsia="仿宋"/>
              </w:rPr>
              <w:t>2.分包供应商履行的分包项目的品牌、规格型号及技术要求等，必须与成交的一致。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8" w:hRule="atLeast"/>
          <w:jc w:val="center"/>
        </w:trPr>
        <w:tc>
          <w:tcPr>
            <w:tcW w:w="722" w:type="dxa"/>
            <w:vAlign w:val="center"/>
          </w:tcPr>
          <w:p>
            <w:pPr>
              <w:pStyle w:val="51"/>
              <w:numPr>
                <w:ilvl w:val="0"/>
                <w:numId w:val="7"/>
              </w:numPr>
              <w:jc w:val="center"/>
            </w:pPr>
          </w:p>
        </w:tc>
        <w:tc>
          <w:tcPr>
            <w:tcW w:w="2240" w:type="dxa"/>
            <w:vAlign w:val="center"/>
          </w:tcPr>
          <w:p>
            <w:pPr>
              <w:pStyle w:val="58"/>
              <w:snapToGrid w:val="0"/>
              <w:ind w:left="38"/>
              <w:jc w:val="center"/>
              <w:rPr>
                <w:rFonts w:ascii="仿宋" w:hAnsi="仿宋" w:eastAsia="仿宋"/>
                <w:color w:val="000000"/>
                <w:lang w:val="zh-CN"/>
              </w:rPr>
            </w:pPr>
            <w:r>
              <w:rPr>
                <w:rFonts w:hint="eastAsia" w:ascii="仿宋" w:hAnsi="仿宋" w:eastAsia="仿宋"/>
                <w:color w:val="000000"/>
              </w:rPr>
              <w:t>结果</w:t>
            </w:r>
            <w:r>
              <w:rPr>
                <w:rFonts w:hint="eastAsia" w:ascii="仿宋" w:hAnsi="仿宋" w:eastAsia="仿宋"/>
                <w:color w:val="000000"/>
                <w:lang w:val="zh-CN"/>
              </w:rPr>
              <w:t>公告</w:t>
            </w:r>
          </w:p>
        </w:tc>
        <w:tc>
          <w:tcPr>
            <w:tcW w:w="8329" w:type="dxa"/>
            <w:vAlign w:val="center"/>
          </w:tcPr>
          <w:p>
            <w:pPr>
              <w:pStyle w:val="51"/>
              <w:spacing w:line="240" w:lineRule="auto"/>
            </w:pPr>
            <w:r>
              <w:rPr>
                <w:rFonts w:hint="eastAsia"/>
              </w:rPr>
              <w:t>结果将在四川省农村科技发展中心官网上予以公告。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722" w:type="dxa"/>
            <w:vAlign w:val="center"/>
          </w:tcPr>
          <w:p>
            <w:pPr>
              <w:pStyle w:val="51"/>
              <w:numPr>
                <w:ilvl w:val="0"/>
                <w:numId w:val="7"/>
              </w:numPr>
              <w:jc w:val="center"/>
            </w:pPr>
          </w:p>
        </w:tc>
        <w:tc>
          <w:tcPr>
            <w:tcW w:w="2240" w:type="dxa"/>
            <w:vAlign w:val="center"/>
          </w:tcPr>
          <w:p>
            <w:pPr>
              <w:pStyle w:val="58"/>
              <w:snapToGrid w:val="0"/>
              <w:ind w:left="38"/>
              <w:jc w:val="center"/>
              <w:rPr>
                <w:rFonts w:ascii="仿宋" w:hAnsi="仿宋" w:eastAsia="仿宋"/>
                <w:color w:val="000000"/>
              </w:rPr>
            </w:pPr>
            <w:r>
              <w:rPr>
                <w:rFonts w:hint="eastAsia" w:ascii="仿宋" w:hAnsi="仿宋" w:eastAsia="仿宋"/>
                <w:bCs/>
                <w:color w:val="000000"/>
              </w:rPr>
              <w:t>采购文件</w:t>
            </w:r>
            <w:r>
              <w:rPr>
                <w:rFonts w:hint="eastAsia" w:ascii="仿宋" w:hAnsi="仿宋" w:eastAsia="仿宋"/>
                <w:color w:val="000000"/>
                <w:lang w:val="zh-CN"/>
              </w:rPr>
              <w:t>咨询</w:t>
            </w:r>
          </w:p>
        </w:tc>
        <w:tc>
          <w:tcPr>
            <w:tcW w:w="8329" w:type="dxa"/>
            <w:vAlign w:val="center"/>
          </w:tcPr>
          <w:p>
            <w:pPr>
              <w:pStyle w:val="51"/>
              <w:spacing w:line="240" w:lineRule="auto"/>
              <w:rPr>
                <w:highlight w:val="yellow"/>
                <w:lang w:val="zh-CN"/>
              </w:rPr>
            </w:pPr>
            <w:r>
              <w:rPr>
                <w:rFonts w:hint="eastAsia"/>
                <w:highlight w:val="none"/>
              </w:rPr>
              <w:t>联系人：</w:t>
            </w:r>
            <w:r>
              <w:rPr>
                <w:rFonts w:hint="eastAsia"/>
                <w:highlight w:val="none"/>
                <w:lang w:val="en-US" w:eastAsia="zh-CN"/>
              </w:rPr>
              <w:t>贺</w:t>
            </w:r>
            <w:r>
              <w:rPr>
                <w:rFonts w:hint="eastAsia"/>
                <w:highlight w:val="none"/>
              </w:rPr>
              <w:t>先生   联系电话：028-</w:t>
            </w:r>
            <w:r>
              <w:rPr>
                <w:rFonts w:hint="eastAsia"/>
                <w:kern w:val="0"/>
                <w:szCs w:val="21"/>
                <w:highlight w:val="none"/>
              </w:rPr>
              <w:t>85283064</w:t>
            </w:r>
            <w:r>
              <w:rPr>
                <w:rFonts w:hint="eastAsia"/>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722" w:type="dxa"/>
            <w:vAlign w:val="center"/>
          </w:tcPr>
          <w:p>
            <w:pPr>
              <w:pStyle w:val="51"/>
              <w:numPr>
                <w:ilvl w:val="0"/>
                <w:numId w:val="7"/>
              </w:numPr>
              <w:jc w:val="center"/>
            </w:pPr>
          </w:p>
        </w:tc>
        <w:tc>
          <w:tcPr>
            <w:tcW w:w="2240" w:type="dxa"/>
            <w:vAlign w:val="center"/>
          </w:tcPr>
          <w:p>
            <w:pPr>
              <w:pStyle w:val="58"/>
              <w:snapToGrid w:val="0"/>
              <w:ind w:left="38"/>
              <w:jc w:val="center"/>
              <w:rPr>
                <w:rFonts w:ascii="仿宋" w:hAnsi="仿宋" w:eastAsia="仿宋"/>
                <w:color w:val="000000"/>
                <w:lang w:val="zh-CN"/>
              </w:rPr>
            </w:pPr>
            <w:r>
              <w:rPr>
                <w:rFonts w:hint="eastAsia" w:ascii="仿宋" w:hAnsi="仿宋" w:eastAsia="仿宋"/>
                <w:color w:val="000000"/>
                <w:lang w:val="zh-CN"/>
              </w:rPr>
              <w:t>成交通知书领取</w:t>
            </w:r>
          </w:p>
        </w:tc>
        <w:tc>
          <w:tcPr>
            <w:tcW w:w="8329" w:type="dxa"/>
            <w:vAlign w:val="center"/>
          </w:tcPr>
          <w:p>
            <w:pPr>
              <w:pStyle w:val="59"/>
              <w:rPr>
                <w:rFonts w:ascii="仿宋" w:hAnsi="仿宋" w:eastAsia="仿宋"/>
              </w:rPr>
            </w:pPr>
            <w:r>
              <w:rPr>
                <w:rFonts w:hint="eastAsia" w:ascii="仿宋" w:hAnsi="仿宋" w:eastAsia="仿宋"/>
              </w:rPr>
              <w:t>成交公告在四川省农村科技发展中心官网上予以公告后，请成交供应商凭单位介绍信及有效身份证明证件到四川省农村科技发展中心领取成交通知书。</w:t>
            </w:r>
          </w:p>
          <w:p>
            <w:pPr>
              <w:pStyle w:val="58"/>
              <w:snapToGrid w:val="0"/>
              <w:jc w:val="both"/>
              <w:rPr>
                <w:rFonts w:ascii="仿宋" w:hAnsi="仿宋" w:eastAsia="仿宋"/>
                <w:highlight w:val="none"/>
              </w:rPr>
            </w:pPr>
            <w:r>
              <w:rPr>
                <w:rFonts w:hint="eastAsia" w:ascii="仿宋" w:hAnsi="仿宋" w:eastAsia="仿宋"/>
                <w:highlight w:val="none"/>
              </w:rPr>
              <w:t>联系电话：028-</w:t>
            </w:r>
            <w:r>
              <w:rPr>
                <w:rFonts w:hint="eastAsia"/>
                <w:kern w:val="0"/>
                <w:szCs w:val="21"/>
                <w:highlight w:val="none"/>
              </w:rPr>
              <w:t>85283064</w:t>
            </w:r>
          </w:p>
          <w:p>
            <w:pPr>
              <w:pStyle w:val="58"/>
              <w:snapToGrid w:val="0"/>
              <w:jc w:val="both"/>
              <w:rPr>
                <w:rFonts w:ascii="仿宋" w:hAnsi="仿宋" w:eastAsia="仿宋"/>
                <w:color w:val="000000"/>
                <w:lang w:val="zh-CN"/>
              </w:rPr>
            </w:pPr>
            <w:r>
              <w:rPr>
                <w:rFonts w:hint="eastAsia" w:ascii="仿宋" w:hAnsi="仿宋" w:eastAsia="仿宋"/>
                <w:highlight w:val="none"/>
                <w:lang w:val="zh-CN"/>
              </w:rPr>
              <w:t>地址：</w:t>
            </w:r>
            <w:r>
              <w:rPr>
                <w:rFonts w:hint="eastAsia" w:ascii="仿宋" w:hAnsi="仿宋" w:eastAsia="仿宋"/>
                <w:color w:val="000000"/>
                <w:highlight w:val="none"/>
              </w:rPr>
              <w:t>成都市人民南路四段11号</w:t>
            </w:r>
            <w:r>
              <w:rPr>
                <w:rFonts w:hint="eastAsia" w:ascii="仿宋" w:hAnsi="仿宋" w:eastAsia="仿宋"/>
                <w:highlight w:val="none"/>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722" w:type="dxa"/>
            <w:vAlign w:val="center"/>
          </w:tcPr>
          <w:p>
            <w:pPr>
              <w:pStyle w:val="51"/>
              <w:numPr>
                <w:ilvl w:val="0"/>
                <w:numId w:val="7"/>
              </w:numPr>
              <w:jc w:val="center"/>
            </w:pPr>
          </w:p>
        </w:tc>
        <w:tc>
          <w:tcPr>
            <w:tcW w:w="2240" w:type="dxa"/>
            <w:vAlign w:val="center"/>
          </w:tcPr>
          <w:p>
            <w:pPr>
              <w:pStyle w:val="58"/>
              <w:snapToGrid w:val="0"/>
              <w:ind w:left="96"/>
              <w:jc w:val="center"/>
              <w:rPr>
                <w:rFonts w:ascii="仿宋" w:hAnsi="仿宋" w:eastAsia="仿宋"/>
                <w:color w:val="000000"/>
                <w:lang w:val="zh-CN"/>
              </w:rPr>
            </w:pPr>
            <w:r>
              <w:rPr>
                <w:rFonts w:hint="eastAsia" w:ascii="仿宋" w:hAnsi="仿宋" w:eastAsia="仿宋"/>
                <w:color w:val="000000"/>
                <w:lang w:val="zh-CN"/>
              </w:rPr>
              <w:t>供应商质疑</w:t>
            </w:r>
          </w:p>
        </w:tc>
        <w:tc>
          <w:tcPr>
            <w:tcW w:w="8329" w:type="dxa"/>
            <w:vAlign w:val="center"/>
          </w:tcPr>
          <w:p>
            <w:pPr>
              <w:pStyle w:val="59"/>
              <w:spacing w:line="276" w:lineRule="auto"/>
              <w:rPr>
                <w:rFonts w:ascii="仿宋" w:hAnsi="仿宋" w:eastAsia="仿宋"/>
              </w:rPr>
            </w:pPr>
            <w:r>
              <w:rPr>
                <w:rFonts w:hint="eastAsia" w:ascii="仿宋" w:hAnsi="仿宋" w:eastAsia="仿宋"/>
              </w:rPr>
              <w:t>采</w:t>
            </w:r>
            <w:r>
              <w:rPr>
                <w:rFonts w:ascii="仿宋" w:hAnsi="仿宋" w:eastAsia="仿宋"/>
              </w:rPr>
              <w:t xml:space="preserve"> 购 人：四川省农村科技发展中心。</w:t>
            </w:r>
          </w:p>
          <w:p>
            <w:pPr>
              <w:pStyle w:val="59"/>
              <w:spacing w:line="276" w:lineRule="auto"/>
              <w:rPr>
                <w:rFonts w:ascii="仿宋" w:hAnsi="仿宋" w:eastAsia="仿宋"/>
                <w:highlight w:val="none"/>
              </w:rPr>
            </w:pPr>
            <w:r>
              <w:rPr>
                <w:rFonts w:hint="eastAsia" w:ascii="仿宋" w:hAnsi="仿宋" w:eastAsia="仿宋"/>
                <w:highlight w:val="none"/>
              </w:rPr>
              <w:t>地</w:t>
            </w:r>
            <w:r>
              <w:rPr>
                <w:rFonts w:ascii="仿宋" w:hAnsi="仿宋" w:eastAsia="仿宋"/>
                <w:highlight w:val="none"/>
              </w:rPr>
              <w:t xml:space="preserve">    址：成都市人民南路四段11号。</w:t>
            </w:r>
          </w:p>
          <w:p>
            <w:pPr>
              <w:pStyle w:val="59"/>
              <w:spacing w:line="276" w:lineRule="auto"/>
              <w:rPr>
                <w:rFonts w:hint="eastAsia" w:ascii="仿宋" w:hAnsi="仿宋" w:eastAsia="仿宋"/>
                <w:highlight w:val="none"/>
                <w:lang w:eastAsia="zh-CN"/>
              </w:rPr>
            </w:pPr>
            <w:r>
              <w:rPr>
                <w:rFonts w:hint="eastAsia" w:ascii="仿宋" w:hAnsi="仿宋" w:eastAsia="仿宋"/>
                <w:highlight w:val="none"/>
              </w:rPr>
              <w:t>联</w:t>
            </w:r>
            <w:r>
              <w:rPr>
                <w:rFonts w:ascii="仿宋" w:hAnsi="仿宋" w:eastAsia="仿宋"/>
                <w:highlight w:val="none"/>
              </w:rPr>
              <w:t xml:space="preserve"> 系 人：</w:t>
            </w:r>
            <w:r>
              <w:rPr>
                <w:rFonts w:hint="eastAsia" w:ascii="仿宋" w:hAnsi="仿宋" w:eastAsia="仿宋"/>
                <w:highlight w:val="none"/>
                <w:lang w:val="en-US" w:eastAsia="zh-CN"/>
              </w:rPr>
              <w:t>贺老师</w:t>
            </w:r>
          </w:p>
          <w:p>
            <w:pPr>
              <w:pStyle w:val="59"/>
              <w:spacing w:line="276" w:lineRule="auto"/>
              <w:rPr>
                <w:rFonts w:ascii="仿宋" w:hAnsi="仿宋" w:eastAsia="仿宋"/>
                <w:highlight w:val="none"/>
              </w:rPr>
            </w:pPr>
            <w:r>
              <w:rPr>
                <w:rFonts w:hint="eastAsia" w:ascii="仿宋" w:hAnsi="仿宋" w:eastAsia="仿宋"/>
                <w:highlight w:val="none"/>
              </w:rPr>
              <w:t>联系方式：</w:t>
            </w:r>
            <w:r>
              <w:rPr>
                <w:rFonts w:ascii="仿宋" w:hAnsi="仿宋" w:eastAsia="仿宋"/>
                <w:highlight w:val="none"/>
              </w:rPr>
              <w:t>028-</w:t>
            </w:r>
            <w:r>
              <w:rPr>
                <w:rFonts w:hint="eastAsia"/>
                <w:kern w:val="0"/>
                <w:szCs w:val="21"/>
                <w:highlight w:val="none"/>
              </w:rPr>
              <w:t>85283064</w:t>
            </w:r>
          </w:p>
          <w:p>
            <w:pPr>
              <w:pStyle w:val="59"/>
              <w:spacing w:line="276" w:lineRule="auto"/>
              <w:ind w:firstLine="480"/>
              <w:rPr>
                <w:rFonts w:ascii="仿宋" w:hAnsi="仿宋" w:eastAsia="仿宋"/>
              </w:rPr>
            </w:pPr>
            <w:r>
              <w:rPr>
                <w:rFonts w:hint="eastAsia" w:ascii="仿宋" w:hAnsi="仿宋" w:eastAsia="仿宋"/>
              </w:rPr>
              <w:t>注：</w:t>
            </w:r>
            <w:r>
              <w:rPr>
                <w:rFonts w:ascii="仿宋" w:hAnsi="仿宋" w:eastAsia="仿宋"/>
              </w:rPr>
              <w:t>1.根据《中华人民共和国政府采购法》、《中华人民共和国政府采购法实施条例》（国务院令第658号）、《政府采购质疑和投诉办法》（财政部令第 94 号）的规定，供应商质疑不得超出磋商文件、磋商过程、磋商结果的范围。2.供应商针对同一采购程序环节的质疑须在法定质疑期内一次性提出。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722" w:type="dxa"/>
            <w:vAlign w:val="center"/>
          </w:tcPr>
          <w:p>
            <w:pPr>
              <w:pStyle w:val="51"/>
              <w:numPr>
                <w:ilvl w:val="0"/>
                <w:numId w:val="7"/>
              </w:numPr>
              <w:jc w:val="center"/>
            </w:pPr>
          </w:p>
        </w:tc>
        <w:tc>
          <w:tcPr>
            <w:tcW w:w="2240" w:type="dxa"/>
            <w:vAlign w:val="center"/>
          </w:tcPr>
          <w:p>
            <w:pPr>
              <w:pStyle w:val="58"/>
              <w:snapToGrid w:val="0"/>
              <w:ind w:left="96"/>
              <w:jc w:val="center"/>
              <w:rPr>
                <w:rFonts w:ascii="仿宋" w:hAnsi="仿宋" w:eastAsia="仿宋"/>
                <w:b/>
                <w:color w:val="000000"/>
                <w:lang w:val="zh-CN"/>
              </w:rPr>
            </w:pPr>
            <w:r>
              <w:rPr>
                <w:rFonts w:hint="eastAsia" w:ascii="仿宋" w:hAnsi="仿宋" w:eastAsia="仿宋"/>
                <w:b/>
                <w:color w:val="000000"/>
                <w:lang w:val="zh-CN"/>
              </w:rPr>
              <w:t>参与响应与响应文件制作</w:t>
            </w:r>
          </w:p>
          <w:p>
            <w:pPr>
              <w:pStyle w:val="58"/>
              <w:snapToGrid w:val="0"/>
              <w:ind w:left="96"/>
              <w:jc w:val="center"/>
              <w:rPr>
                <w:rFonts w:ascii="仿宋" w:hAnsi="仿宋" w:eastAsia="仿宋"/>
                <w:color w:val="000000"/>
                <w:lang w:val="zh-CN"/>
              </w:rPr>
            </w:pPr>
            <w:r>
              <w:rPr>
                <w:rFonts w:hint="eastAsia" w:ascii="仿宋" w:hAnsi="仿宋" w:eastAsia="仿宋"/>
                <w:b/>
                <w:color w:val="000000"/>
                <w:lang w:val="zh-CN"/>
              </w:rPr>
              <w:t>（实质性要求）</w:t>
            </w:r>
          </w:p>
        </w:tc>
        <w:tc>
          <w:tcPr>
            <w:tcW w:w="8329" w:type="dxa"/>
            <w:vAlign w:val="center"/>
          </w:tcPr>
          <w:p>
            <w:pPr>
              <w:pStyle w:val="59"/>
              <w:rPr>
                <w:rFonts w:ascii="仿宋" w:hAnsi="仿宋" w:eastAsia="仿宋"/>
                <w:color w:val="000000"/>
                <w:lang w:val="zh-CN"/>
              </w:rPr>
            </w:pPr>
            <w:r>
              <w:rPr>
                <w:rFonts w:hint="eastAsia" w:ascii="仿宋" w:hAnsi="仿宋" w:eastAsia="仿宋"/>
                <w:lang w:val="zh-CN"/>
              </w:rPr>
              <w:t>如有多个分包，本项目参与响应和响应文件制作均以“分包”为单位，即各个分包均需要按照要求分别制作、递交响应文件。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49" w:hRule="atLeast"/>
          <w:jc w:val="center"/>
        </w:trPr>
        <w:tc>
          <w:tcPr>
            <w:tcW w:w="722" w:type="dxa"/>
            <w:vAlign w:val="center"/>
          </w:tcPr>
          <w:p>
            <w:pPr>
              <w:pStyle w:val="51"/>
              <w:numPr>
                <w:ilvl w:val="0"/>
                <w:numId w:val="7"/>
              </w:numPr>
              <w:jc w:val="center"/>
            </w:pPr>
          </w:p>
        </w:tc>
        <w:tc>
          <w:tcPr>
            <w:tcW w:w="2240" w:type="dxa"/>
            <w:vAlign w:val="center"/>
          </w:tcPr>
          <w:p>
            <w:pPr>
              <w:pStyle w:val="58"/>
              <w:snapToGrid w:val="0"/>
              <w:ind w:left="96"/>
              <w:jc w:val="center"/>
              <w:rPr>
                <w:rFonts w:ascii="仿宋" w:hAnsi="仿宋" w:eastAsia="仿宋"/>
                <w:color w:val="000000"/>
                <w:lang w:val="zh-CN"/>
              </w:rPr>
            </w:pPr>
            <w:r>
              <w:rPr>
                <w:rFonts w:hint="eastAsia" w:ascii="仿宋" w:hAnsi="仿宋" w:eastAsia="仿宋"/>
                <w:b/>
                <w:bCs/>
                <w:lang w:val="zh-CN"/>
              </w:rPr>
              <w:t>核心产品、产品强制认证（</w:t>
            </w:r>
            <w:r>
              <w:rPr>
                <w:rFonts w:hint="eastAsia" w:ascii="仿宋" w:hAnsi="仿宋" w:eastAsia="仿宋"/>
                <w:b/>
                <w:bCs/>
              </w:rPr>
              <w:t>实质性要求</w:t>
            </w:r>
            <w:r>
              <w:rPr>
                <w:rFonts w:hint="eastAsia" w:ascii="仿宋" w:hAnsi="仿宋" w:eastAsia="仿宋"/>
                <w:b/>
                <w:bCs/>
                <w:lang w:val="zh-CN"/>
              </w:rPr>
              <w:t>）</w:t>
            </w:r>
          </w:p>
        </w:tc>
        <w:tc>
          <w:tcPr>
            <w:tcW w:w="8329" w:type="dxa"/>
            <w:vAlign w:val="center"/>
          </w:tcPr>
          <w:p>
            <w:pPr>
              <w:pStyle w:val="59"/>
              <w:rPr>
                <w:rFonts w:ascii="仿宋" w:hAnsi="仿宋" w:eastAsia="仿宋"/>
              </w:rPr>
            </w:pPr>
            <w:r>
              <w:rPr>
                <w:rFonts w:hint="eastAsia" w:ascii="仿宋" w:hAnsi="仿宋" w:eastAsia="仿宋"/>
              </w:rPr>
              <w:t>本项目为服务类项目，不涉及货物（产品）采购，故不在磋商文件中执行（体现）核心产品、产品强制认证、强制节能采购等相关政策。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722" w:type="dxa"/>
            <w:vAlign w:val="center"/>
          </w:tcPr>
          <w:p>
            <w:pPr>
              <w:pStyle w:val="51"/>
              <w:numPr>
                <w:ilvl w:val="0"/>
                <w:numId w:val="7"/>
              </w:numPr>
              <w:jc w:val="center"/>
            </w:pPr>
          </w:p>
        </w:tc>
        <w:tc>
          <w:tcPr>
            <w:tcW w:w="2240" w:type="dxa"/>
            <w:vAlign w:val="center"/>
          </w:tcPr>
          <w:p>
            <w:pPr>
              <w:pStyle w:val="59"/>
              <w:jc w:val="center"/>
              <w:rPr>
                <w:rFonts w:ascii="仿宋" w:hAnsi="仿宋" w:eastAsia="仿宋"/>
                <w:b/>
                <w:bCs/>
                <w:lang w:val="zh-CN"/>
              </w:rPr>
            </w:pPr>
            <w:r>
              <w:rPr>
                <w:rFonts w:hint="eastAsia" w:ascii="仿宋" w:hAnsi="仿宋" w:eastAsia="仿宋"/>
              </w:rPr>
              <w:t>关于磋商文件规定的时间释义</w:t>
            </w:r>
          </w:p>
        </w:tc>
        <w:tc>
          <w:tcPr>
            <w:tcW w:w="8329" w:type="dxa"/>
            <w:vAlign w:val="center"/>
          </w:tcPr>
          <w:p>
            <w:pPr>
              <w:pStyle w:val="51"/>
              <w:spacing w:line="240" w:lineRule="auto"/>
            </w:pPr>
            <w:r>
              <w:rPr>
                <w:rFonts w:hint="eastAsia"/>
              </w:rPr>
              <w:t>本项目磋商文件中规定的时间均以北京时间为准。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722" w:type="dxa"/>
            <w:vAlign w:val="center"/>
          </w:tcPr>
          <w:p>
            <w:pPr>
              <w:pStyle w:val="51"/>
              <w:numPr>
                <w:ilvl w:val="0"/>
                <w:numId w:val="7"/>
              </w:numPr>
              <w:jc w:val="center"/>
            </w:pPr>
          </w:p>
        </w:tc>
        <w:tc>
          <w:tcPr>
            <w:tcW w:w="2240" w:type="dxa"/>
            <w:vAlign w:val="center"/>
          </w:tcPr>
          <w:p>
            <w:pPr>
              <w:pStyle w:val="59"/>
              <w:jc w:val="center"/>
              <w:rPr>
                <w:rFonts w:ascii="仿宋" w:hAnsi="仿宋" w:eastAsia="仿宋"/>
              </w:rPr>
            </w:pPr>
            <w:r>
              <w:rPr>
                <w:rFonts w:hint="eastAsia" w:ascii="仿宋" w:hAnsi="仿宋" w:eastAsia="仿宋"/>
              </w:rPr>
              <w:t>品牌或者供应商</w:t>
            </w:r>
            <w:r>
              <w:rPr>
                <w:rFonts w:ascii="仿宋" w:hAnsi="仿宋" w:eastAsia="仿宋"/>
              </w:rPr>
              <w:t>(如涉</w:t>
            </w:r>
            <w:r>
              <w:rPr>
                <w:rFonts w:hint="eastAsia" w:ascii="仿宋" w:hAnsi="仿宋" w:eastAsia="仿宋"/>
              </w:rPr>
              <w:t>及</w:t>
            </w:r>
            <w:r>
              <w:rPr>
                <w:rFonts w:ascii="仿宋" w:hAnsi="仿宋" w:eastAsia="仿宋"/>
              </w:rPr>
              <w:t>)</w:t>
            </w:r>
          </w:p>
        </w:tc>
        <w:tc>
          <w:tcPr>
            <w:tcW w:w="8329" w:type="dxa"/>
            <w:vAlign w:val="center"/>
          </w:tcPr>
          <w:p>
            <w:pPr>
              <w:pStyle w:val="51"/>
              <w:spacing w:line="240" w:lineRule="auto"/>
              <w:jc w:val="both"/>
            </w:pPr>
            <w:r>
              <w:rPr>
                <w:rFonts w:hint="eastAsia"/>
              </w:rPr>
              <w:t>若磋商文件涉及品牌或者供应商，其目的是为了准确表述采购项目的技术标准和要求，其意思表示为“参照或相当于”品牌或者供应商，其品牌或供应商具有可替代性。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722" w:type="dxa"/>
            <w:vAlign w:val="center"/>
          </w:tcPr>
          <w:p>
            <w:pPr>
              <w:pStyle w:val="51"/>
              <w:numPr>
                <w:ilvl w:val="0"/>
                <w:numId w:val="7"/>
              </w:numPr>
              <w:jc w:val="center"/>
            </w:pPr>
          </w:p>
        </w:tc>
        <w:tc>
          <w:tcPr>
            <w:tcW w:w="2240" w:type="dxa"/>
            <w:vAlign w:val="center"/>
          </w:tcPr>
          <w:p>
            <w:pPr>
              <w:spacing w:line="240" w:lineRule="auto"/>
              <w:ind w:firstLine="0" w:firstLineChars="0"/>
              <w:jc w:val="center"/>
            </w:pPr>
            <w:r>
              <w:rPr>
                <w:rFonts w:hint="eastAsia"/>
              </w:rPr>
              <w:t>履约验收</w:t>
            </w:r>
            <w:r>
              <w:t>标准</w:t>
            </w:r>
            <w:r>
              <w:rPr>
                <w:rFonts w:hint="eastAsia"/>
              </w:rPr>
              <w:t>和</w:t>
            </w:r>
            <w:r>
              <w:t>要求</w:t>
            </w:r>
          </w:p>
        </w:tc>
        <w:tc>
          <w:tcPr>
            <w:tcW w:w="8329" w:type="dxa"/>
            <w:vAlign w:val="center"/>
          </w:tcPr>
          <w:p>
            <w:pPr>
              <w:pStyle w:val="51"/>
              <w:spacing w:line="240" w:lineRule="auto"/>
              <w:jc w:val="both"/>
            </w:pPr>
            <w:r>
              <w:rPr>
                <w:rFonts w:hint="eastAsia"/>
              </w:rPr>
              <w:t>参照《财政部关于进一步加强政府采购需求和履约验收管理的指导意见》（财库〔</w:t>
            </w:r>
            <w:r>
              <w:t>2016〕205 号）的规定，结合本项目磋商文件、响应文件及采购合同的要求进行验收。采购人组织验收人员组成验收小组，成交供应商予以配合，所有技术（服务）要求</w:t>
            </w:r>
            <w:r>
              <w:rPr>
                <w:rFonts w:hint="eastAsia"/>
              </w:rPr>
              <w:t>须</w:t>
            </w:r>
            <w:r>
              <w:t>满足本项目磋商文件、响应文件及采购合同的要求。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722" w:type="dxa"/>
            <w:vAlign w:val="center"/>
          </w:tcPr>
          <w:p>
            <w:pPr>
              <w:pStyle w:val="51"/>
              <w:numPr>
                <w:ilvl w:val="0"/>
                <w:numId w:val="7"/>
              </w:numPr>
              <w:jc w:val="center"/>
            </w:pPr>
          </w:p>
        </w:tc>
        <w:tc>
          <w:tcPr>
            <w:tcW w:w="2240" w:type="dxa"/>
            <w:vAlign w:val="center"/>
          </w:tcPr>
          <w:p>
            <w:pPr>
              <w:pStyle w:val="51"/>
              <w:spacing w:line="276" w:lineRule="auto"/>
              <w:jc w:val="center"/>
              <w:rPr>
                <w:rFonts w:cs="Times New Roman"/>
                <w:b/>
              </w:rPr>
            </w:pPr>
            <w:r>
              <w:rPr>
                <w:rFonts w:hint="eastAsia" w:cs="Times New Roman"/>
                <w:b/>
              </w:rPr>
              <w:t>本国采购</w:t>
            </w:r>
          </w:p>
          <w:p>
            <w:pPr>
              <w:spacing w:line="240" w:lineRule="auto"/>
              <w:ind w:firstLine="0" w:firstLineChars="0"/>
              <w:jc w:val="center"/>
            </w:pPr>
            <w:r>
              <w:rPr>
                <w:rFonts w:hint="eastAsia" w:cs="Times New Roman"/>
                <w:b/>
              </w:rPr>
              <w:t>（实质性要求）</w:t>
            </w:r>
          </w:p>
        </w:tc>
        <w:tc>
          <w:tcPr>
            <w:tcW w:w="8329" w:type="dxa"/>
            <w:vAlign w:val="center"/>
          </w:tcPr>
          <w:p>
            <w:pPr>
              <w:pStyle w:val="51"/>
              <w:spacing w:line="276" w:lineRule="auto"/>
              <w:rPr>
                <w:rFonts w:cs="Times New Roman"/>
              </w:rPr>
            </w:pPr>
            <w:r>
              <w:rPr>
                <w:rFonts w:hint="eastAsia" w:cs="Times New Roman"/>
              </w:rPr>
              <w:t>本项目采购本国货物、服务、工程。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722" w:type="dxa"/>
            <w:vAlign w:val="center"/>
          </w:tcPr>
          <w:p>
            <w:pPr>
              <w:pStyle w:val="51"/>
              <w:numPr>
                <w:ilvl w:val="0"/>
                <w:numId w:val="7"/>
              </w:numPr>
              <w:jc w:val="center"/>
            </w:pPr>
          </w:p>
        </w:tc>
        <w:tc>
          <w:tcPr>
            <w:tcW w:w="2240" w:type="dxa"/>
            <w:vAlign w:val="center"/>
          </w:tcPr>
          <w:p>
            <w:pPr>
              <w:pStyle w:val="51"/>
              <w:spacing w:line="276" w:lineRule="auto"/>
              <w:jc w:val="center"/>
              <w:rPr>
                <w:rFonts w:cs="Times New Roman"/>
                <w:b/>
              </w:rPr>
            </w:pPr>
            <w:r>
              <w:rPr>
                <w:rFonts w:hint="eastAsia"/>
                <w:b/>
              </w:rPr>
              <w:t>本项目是否接受联合体参与采购活动（实质性要求）</w:t>
            </w:r>
          </w:p>
        </w:tc>
        <w:tc>
          <w:tcPr>
            <w:tcW w:w="8329" w:type="dxa"/>
            <w:vAlign w:val="center"/>
          </w:tcPr>
          <w:p>
            <w:pPr>
              <w:pStyle w:val="51"/>
              <w:spacing w:line="276" w:lineRule="auto"/>
              <w:rPr>
                <w:rFonts w:cs="Times New Roman"/>
              </w:rPr>
            </w:pPr>
            <w:r>
              <w:t>否</w:t>
            </w:r>
          </w:p>
        </w:tc>
      </w:tr>
    </w:tbl>
    <w:p>
      <w:pPr>
        <w:pStyle w:val="42"/>
        <w:ind w:firstLine="480"/>
        <w:rPr>
          <w:rFonts w:eastAsia="仿宋"/>
        </w:rPr>
      </w:pPr>
    </w:p>
    <w:p>
      <w:pPr>
        <w:widowControl/>
        <w:spacing w:line="240" w:lineRule="auto"/>
        <w:ind w:firstLine="0" w:firstLineChars="0"/>
        <w:jc w:val="left"/>
      </w:pPr>
      <w:r>
        <w:br w:type="page"/>
      </w:r>
    </w:p>
    <w:p>
      <w:pPr>
        <w:pStyle w:val="4"/>
        <w:rPr>
          <w:rFonts w:ascii="仿宋" w:hAnsi="仿宋" w:eastAsia="仿宋"/>
        </w:rPr>
      </w:pPr>
      <w:bookmarkStart w:id="17" w:name="_Toc3441"/>
      <w:r>
        <w:rPr>
          <w:rFonts w:hint="eastAsia" w:ascii="仿宋" w:hAnsi="仿宋" w:eastAsia="仿宋"/>
        </w:rPr>
        <w:t>总则</w:t>
      </w:r>
      <w:bookmarkEnd w:id="17"/>
    </w:p>
    <w:p>
      <w:pPr>
        <w:pStyle w:val="5"/>
      </w:pPr>
      <w:bookmarkStart w:id="18" w:name="_Toc88748199"/>
      <w:bookmarkStart w:id="19" w:name="_Toc91071072"/>
      <w:bookmarkStart w:id="20" w:name="_Toc87641145"/>
      <w:r>
        <w:rPr>
          <w:rFonts w:hint="eastAsia"/>
        </w:rPr>
        <w:t>适用范围</w:t>
      </w:r>
      <w:bookmarkEnd w:id="18"/>
      <w:bookmarkEnd w:id="19"/>
      <w:bookmarkEnd w:id="20"/>
    </w:p>
    <w:p>
      <w:pPr>
        <w:ind w:firstLine="480"/>
      </w:pPr>
      <w:r>
        <w:t>本磋商文件仅适用于本次采购项目。</w:t>
      </w:r>
    </w:p>
    <w:p>
      <w:pPr>
        <w:pStyle w:val="5"/>
      </w:pPr>
      <w:bookmarkStart w:id="21" w:name="_Toc87641146"/>
      <w:bookmarkStart w:id="22" w:name="_Toc88748200"/>
      <w:bookmarkStart w:id="23" w:name="_Toc91071073"/>
      <w:r>
        <w:rPr>
          <w:rFonts w:hint="eastAsia"/>
        </w:rPr>
        <w:t>相关定义</w:t>
      </w:r>
      <w:bookmarkEnd w:id="21"/>
      <w:bookmarkEnd w:id="22"/>
      <w:bookmarkEnd w:id="23"/>
    </w:p>
    <w:p>
      <w:pPr>
        <w:pStyle w:val="6"/>
      </w:pPr>
      <w:r>
        <w:t>本次磋商的采购人是四川省农村科技发展中心。</w:t>
      </w:r>
    </w:p>
    <w:p>
      <w:pPr>
        <w:pStyle w:val="6"/>
      </w:pPr>
      <w:r>
        <w:rPr>
          <w:rFonts w:hint="eastAsia"/>
        </w:rPr>
        <w:t xml:space="preserve"> “</w:t>
      </w:r>
      <w:r>
        <w:t>供应商”系指向采购人提供货物、工程或者服务的法人、其他组织或者自然人。</w:t>
      </w:r>
    </w:p>
    <w:p>
      <w:pPr>
        <w:pStyle w:val="6"/>
      </w:pPr>
      <w:r>
        <w:rPr>
          <w:rFonts w:hint="eastAsia"/>
        </w:rPr>
        <w:t>“磋商文件”系指本项目的采购文件。</w:t>
      </w:r>
    </w:p>
    <w:p>
      <w:pPr>
        <w:pStyle w:val="6"/>
      </w:pPr>
      <w:r>
        <w:rPr>
          <w:rFonts w:hint="eastAsia"/>
        </w:rPr>
        <w:t>“磋商小组”系指依法参与本项目评审的评审委员会。</w:t>
      </w:r>
    </w:p>
    <w:p>
      <w:pPr>
        <w:pStyle w:val="5"/>
      </w:pPr>
      <w:bookmarkStart w:id="24" w:name="_Toc88748201"/>
      <w:bookmarkStart w:id="25" w:name="_Toc91071074"/>
      <w:bookmarkStart w:id="26" w:name="_Toc87641147"/>
      <w:r>
        <w:rPr>
          <w:rFonts w:hint="eastAsia"/>
        </w:rPr>
        <w:t>合格供应商（实质性要求）</w:t>
      </w:r>
      <w:bookmarkEnd w:id="24"/>
      <w:bookmarkEnd w:id="25"/>
      <w:bookmarkEnd w:id="26"/>
    </w:p>
    <w:p>
      <w:pPr>
        <w:pStyle w:val="6"/>
      </w:pPr>
      <w:r>
        <w:rPr>
          <w:rFonts w:hint="eastAsia"/>
        </w:rPr>
        <w:t>满足</w:t>
      </w:r>
      <w:r>
        <w:t>本磋商文件规定的供应商资格条件；（证明材料详见磋商文件第</w:t>
      </w:r>
      <w:r>
        <w:rPr>
          <w:rFonts w:hint="eastAsia"/>
        </w:rPr>
        <w:t>三</w:t>
      </w:r>
      <w:r>
        <w:t>章。）</w:t>
      </w:r>
    </w:p>
    <w:p>
      <w:pPr>
        <w:pStyle w:val="6"/>
      </w:pPr>
      <w:r>
        <w:t>遵守国家有关的法律、法规、规章和其他政策制度；（提供承诺，可直接采用本文件“第五章 响应文件格式”中的</w:t>
      </w:r>
      <w:r>
        <w:rPr>
          <w:rFonts w:hint="eastAsia"/>
        </w:rPr>
        <w:t>相关格式</w:t>
      </w:r>
      <w:r>
        <w:t>进行承诺响应。）</w:t>
      </w:r>
    </w:p>
    <w:p>
      <w:pPr>
        <w:pStyle w:val="6"/>
      </w:pPr>
      <w:r>
        <w:t>不属于为采购项目提供整体设计、规范编制或者项目管理、监理、检测等服务的供应商。(提供承诺，可直接采用本文件“第五章 响应文件格式”中的</w:t>
      </w:r>
      <w:r>
        <w:rPr>
          <w:rFonts w:hint="eastAsia"/>
        </w:rPr>
        <w:t>相关格式</w:t>
      </w:r>
      <w:r>
        <w:t>进行承诺响应。</w:t>
      </w:r>
    </w:p>
    <w:p>
      <w:pPr>
        <w:pStyle w:val="5"/>
      </w:pPr>
      <w:bookmarkStart w:id="27" w:name="_Toc88748202"/>
      <w:bookmarkStart w:id="28" w:name="_Toc91071075"/>
      <w:bookmarkStart w:id="29" w:name="_Toc87641148"/>
      <w:r>
        <w:rPr>
          <w:rFonts w:hint="eastAsia"/>
        </w:rPr>
        <w:t>供应商参加采购活动的费用（实质性要求）</w:t>
      </w:r>
      <w:bookmarkEnd w:id="27"/>
      <w:bookmarkEnd w:id="28"/>
      <w:bookmarkEnd w:id="29"/>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供应商参加采购活动所产生的费用由供应商自行承担。</w:t>
      </w:r>
    </w:p>
    <w:p>
      <w:pPr>
        <w:pStyle w:val="5"/>
      </w:pPr>
      <w:bookmarkStart w:id="30" w:name="_Toc88748203"/>
      <w:bookmarkStart w:id="31" w:name="_Toc91071076"/>
      <w:bookmarkStart w:id="32" w:name="_Toc87641149"/>
      <w:r>
        <w:rPr>
          <w:rFonts w:hint="eastAsia"/>
        </w:rPr>
        <w:t>充分、公平竞争保障措施（实质性要求）</w:t>
      </w:r>
      <w:bookmarkEnd w:id="30"/>
      <w:bookmarkEnd w:id="31"/>
      <w:bookmarkEnd w:id="32"/>
    </w:p>
    <w:p>
      <w:pPr>
        <w:pStyle w:val="6"/>
      </w:pPr>
      <w:r>
        <w:t>利害关系供应商处理。单位负责人为同一人或者存在直接控股、管理关系的不同供应商，不得参加同一合同项下的采购活动。（提供承诺，可直接采用本文件“第五章 响应文件格式”中的</w:t>
      </w:r>
      <w:r>
        <w:rPr>
          <w:rFonts w:hint="eastAsia"/>
        </w:rPr>
        <w:t>相关格式</w:t>
      </w:r>
      <w:r>
        <w:t>进行承诺响应。）</w:t>
      </w:r>
    </w:p>
    <w:p>
      <w:pPr>
        <w:pStyle w:val="6"/>
      </w:pPr>
      <w:r>
        <w:t>利害关系代理人处理。2家以上的供应商不得在同一合同项下的采购项目中同时委托同一个自然人、同一家庭的人员、同一单位的人员作为其代理人。否则，其投标（响应）文件作为无效处理。（提供承诺，可直接采用本文件“第五章 响应文件格式”中的</w:t>
      </w:r>
      <w:r>
        <w:rPr>
          <w:rFonts w:hint="eastAsia"/>
        </w:rPr>
        <w:t>相关格式</w:t>
      </w:r>
      <w:r>
        <w:t>进行承诺响应。）</w:t>
      </w:r>
    </w:p>
    <w:p>
      <w:pPr>
        <w:pStyle w:val="5"/>
      </w:pPr>
      <w:bookmarkStart w:id="33" w:name="_Toc91071077"/>
      <w:bookmarkStart w:id="34" w:name="_Toc87641150"/>
      <w:bookmarkStart w:id="35" w:name="_Toc88748204"/>
      <w:r>
        <w:rPr>
          <w:rFonts w:hint="eastAsia"/>
        </w:rPr>
        <w:t>回避</w:t>
      </w:r>
      <w:bookmarkEnd w:id="33"/>
      <w:bookmarkEnd w:id="34"/>
      <w:bookmarkEnd w:id="35"/>
    </w:p>
    <w:p>
      <w:pPr>
        <w:ind w:firstLine="480"/>
      </w:pPr>
      <w:r>
        <w:rPr>
          <w:rFonts w:hint="eastAsia"/>
        </w:rPr>
        <w:t>采购活动中，采购人员及相关人员与供应商有下列利害关系之一的，应当回避：</w:t>
      </w:r>
    </w:p>
    <w:p>
      <w:pPr>
        <w:ind w:firstLine="480"/>
      </w:pPr>
      <w:r>
        <w:rPr>
          <w:rFonts w:hint="eastAsia"/>
        </w:rPr>
        <w:t>（1）参加采购活动前3年内与供应商存在劳动关系；</w:t>
      </w:r>
    </w:p>
    <w:p>
      <w:pPr>
        <w:ind w:firstLine="480"/>
      </w:pPr>
      <w:r>
        <w:rPr>
          <w:rFonts w:hint="eastAsia"/>
        </w:rPr>
        <w:t>（2）参加采购活动前3年内担任供应商的董事、监事；</w:t>
      </w:r>
    </w:p>
    <w:p>
      <w:pPr>
        <w:ind w:firstLine="480"/>
      </w:pPr>
      <w:r>
        <w:rPr>
          <w:rFonts w:hint="eastAsia"/>
        </w:rPr>
        <w:t>（3）参加采购活动前3年内是供应商的控股股东或者实际控制人；</w:t>
      </w:r>
    </w:p>
    <w:p>
      <w:pPr>
        <w:ind w:firstLine="480"/>
      </w:pPr>
      <w:r>
        <w:rPr>
          <w:rFonts w:hint="eastAsia"/>
        </w:rPr>
        <w:t>（4）与供应商的法定代表人或者负责人有夫妻、直系血亲、三代以内旁系血亲或者近姻亲关系；</w:t>
      </w:r>
    </w:p>
    <w:p>
      <w:pPr>
        <w:ind w:firstLine="480"/>
      </w:pPr>
      <w:r>
        <w:rPr>
          <w:rFonts w:hint="eastAsia"/>
        </w:rPr>
        <w:t>（5）与供应商有其他可能影响采购活动公平、公正进行的关系。</w:t>
      </w:r>
    </w:p>
    <w:p>
      <w:pPr>
        <w:pStyle w:val="5"/>
      </w:pPr>
      <w:bookmarkStart w:id="36" w:name="_Toc91071078"/>
      <w:bookmarkStart w:id="37" w:name="_Toc87641151"/>
      <w:bookmarkStart w:id="38" w:name="_Toc88748205"/>
      <w:r>
        <w:rPr>
          <w:rFonts w:hint="eastAsia"/>
        </w:rPr>
        <w:t>禁止参加本次采购活动的供应商（实质性要求）</w:t>
      </w:r>
      <w:bookmarkEnd w:id="36"/>
      <w:bookmarkEnd w:id="37"/>
      <w:bookmarkEnd w:id="38"/>
    </w:p>
    <w:p>
      <w:pPr>
        <w:pStyle w:val="6"/>
      </w:pPr>
      <w:r>
        <w:rPr>
          <w:rFonts w:hint="eastAsia"/>
        </w:rPr>
        <w:t>单位（自然人）及其现任法定代表人、主要负责人近三年内有行贿犯罪记录。（提供承诺，</w:t>
      </w:r>
      <w:r>
        <w:t>可直接采用本文件“第五章 响应文件格式”中的</w:t>
      </w:r>
      <w:r>
        <w:rPr>
          <w:rFonts w:hint="eastAsia"/>
        </w:rPr>
        <w:t>相关格式</w:t>
      </w:r>
      <w:r>
        <w:t>进行承诺响应。</w:t>
      </w:r>
      <w:r>
        <w:rPr>
          <w:rFonts w:hint="eastAsia"/>
        </w:rPr>
        <w:t>）</w:t>
      </w:r>
    </w:p>
    <w:p>
      <w:pPr>
        <w:pStyle w:val="6"/>
      </w:pPr>
      <w:r>
        <w:rPr>
          <w:rFonts w:hint="eastAsia"/>
        </w:rPr>
        <w:t>单位（自然人）被列入失信被执行人、重大税收违法案件当事人名单。（ 注：采购人将通过“信用中国”（www.creditchina.gov.cn）等渠道查询供应商在递交响应文件截止时间前的信用记录并保存信用记录结果网页截图。查询时以输入供应商全称搜索后的结果截图为准，如有列入失信被执行人、重大税收违法案件当事人名单及其他不符合相关法律</w:t>
      </w:r>
      <w:r>
        <w:t>法规</w:t>
      </w:r>
      <w:r>
        <w:rPr>
          <w:rFonts w:hint="eastAsia"/>
        </w:rPr>
        <w:t>规定条件的供应商，拒绝其参与采购活动，即响应文件按无效响应处理。以联合体形式参加本项目采购活动，联合体成员存在不良信用记录的，视同联合体存在不良信用记录。）</w:t>
      </w:r>
    </w:p>
    <w:p>
      <w:pPr>
        <w:pStyle w:val="5"/>
      </w:pPr>
      <w:bookmarkStart w:id="39" w:name="_Toc88748206"/>
      <w:bookmarkStart w:id="40" w:name="_Toc87641152"/>
      <w:bookmarkStart w:id="41" w:name="_Toc91071079"/>
      <w:r>
        <w:rPr>
          <w:rFonts w:hint="eastAsia"/>
        </w:rPr>
        <w:t>响应文件有效期（实质性要求）</w:t>
      </w:r>
      <w:bookmarkEnd w:id="39"/>
      <w:bookmarkEnd w:id="40"/>
      <w:bookmarkEnd w:id="41"/>
    </w:p>
    <w:p>
      <w:pPr>
        <w:pStyle w:val="6"/>
      </w:pPr>
      <w:r>
        <w:t>本项目响应文件有效期为递交响应文件截止之日起90天。供应商响应文件中必须载明响应文件有效期，响应文件中载明的响应文件有效期可以长于磋商文件规定的期限，但不得短于磋商文件规定的期限。否则，其响应文件将作为无效响应处理。</w:t>
      </w:r>
    </w:p>
    <w:p>
      <w:pPr>
        <w:pStyle w:val="6"/>
      </w:pPr>
      <w:r>
        <w:t xml:space="preserve">因不可抗力事件，采购人可于响应文件有效期届满之前与供应商协商延长响应文件有效期。供应商拒绝延长响应文件有效期的，不得再参与该项目后续采购活动，但由此给供应商造成的损失，采购人可以自主决定是否可以给予适当补偿。供应商同意延长响应文件有效期的，不能修改响应文件。 </w:t>
      </w:r>
    </w:p>
    <w:p>
      <w:pPr>
        <w:pStyle w:val="6"/>
      </w:pPr>
      <w:r>
        <w:t>因采购人采购需求</w:t>
      </w:r>
      <w:r>
        <w:rPr>
          <w:rFonts w:hint="eastAsia"/>
        </w:rPr>
        <w:t>做出</w:t>
      </w:r>
      <w:r>
        <w:t>必要调整，采购人可于响应文件有效期届满之前与供应商协商延长响应文件有效期。供应商拒绝延长响应文件有效期的，不得再参与该项目后续采购活动，但由此给供应商造成的损失，采购人应当予以赔偿或者合理补偿。供应商同意延长响应文件有效期的，不能修改响应文件。</w:t>
      </w:r>
    </w:p>
    <w:p>
      <w:pPr>
        <w:pStyle w:val="5"/>
      </w:pPr>
      <w:bookmarkStart w:id="42" w:name="_Toc87641153"/>
      <w:bookmarkStart w:id="43" w:name="_Toc91071080"/>
      <w:bookmarkStart w:id="44" w:name="_Toc88748207"/>
      <w:r>
        <w:rPr>
          <w:rFonts w:hint="eastAsia"/>
        </w:rPr>
        <w:t>联合体</w:t>
      </w:r>
    </w:p>
    <w:p>
      <w:pPr>
        <w:ind w:firstLine="480"/>
      </w:pPr>
      <w:r>
        <w:rPr>
          <w:rFonts w:hint="eastAsia" w:cs="宋体"/>
          <w:kern w:val="0"/>
        </w:rPr>
        <w:t>本项目不接受联合体参与采购活动。</w:t>
      </w:r>
    </w:p>
    <w:p>
      <w:pPr>
        <w:pStyle w:val="5"/>
      </w:pPr>
      <w:r>
        <w:rPr>
          <w:rFonts w:hint="eastAsia"/>
        </w:rPr>
        <w:t>知识产权（实质性要求）</w:t>
      </w:r>
      <w:bookmarkEnd w:id="42"/>
      <w:bookmarkEnd w:id="43"/>
      <w:bookmarkEnd w:id="44"/>
    </w:p>
    <w:p>
      <w:pPr>
        <w:pStyle w:val="6"/>
      </w:pPr>
      <w:r>
        <w:t>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6"/>
      </w:pPr>
      <w:r>
        <w:t>采购人享有本项目实施过程中产生的全部知识成果及知识产权，未经采购人允许，不得私自使用、转让相关知识成果及产权。</w:t>
      </w:r>
    </w:p>
    <w:p>
      <w:pPr>
        <w:pStyle w:val="6"/>
      </w:pPr>
      <w:r>
        <w:t>供应商如遇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pStyle w:val="6"/>
      </w:pPr>
      <w:r>
        <w:t>如采用供应商所不拥有的知识产权，则在报价中必须包括合法获取该知识产权的相关费用。</w:t>
      </w:r>
    </w:p>
    <w:p>
      <w:pPr>
        <w:pStyle w:val="4"/>
        <w:rPr>
          <w:rFonts w:ascii="仿宋" w:hAnsi="仿宋" w:eastAsia="仿宋"/>
        </w:rPr>
      </w:pPr>
      <w:bookmarkStart w:id="45" w:name="_Toc29583"/>
      <w:r>
        <w:rPr>
          <w:rFonts w:hint="eastAsia" w:ascii="仿宋" w:hAnsi="仿宋" w:eastAsia="仿宋"/>
        </w:rPr>
        <w:t>磋商文件</w:t>
      </w:r>
      <w:bookmarkEnd w:id="45"/>
    </w:p>
    <w:p>
      <w:pPr>
        <w:pStyle w:val="5"/>
      </w:pPr>
      <w:bookmarkStart w:id="46" w:name="_Toc88748209"/>
      <w:bookmarkStart w:id="47" w:name="_Toc87641155"/>
      <w:bookmarkStart w:id="48" w:name="_Toc91071082"/>
      <w:r>
        <w:rPr>
          <w:rFonts w:hint="eastAsia"/>
        </w:rPr>
        <w:t>磋商文件的构成（实质性要求）</w:t>
      </w:r>
      <w:bookmarkEnd w:id="46"/>
      <w:bookmarkEnd w:id="47"/>
      <w:bookmarkEnd w:id="48"/>
    </w:p>
    <w:p>
      <w:pPr>
        <w:pStyle w:val="6"/>
      </w:pPr>
      <w:r>
        <w:rPr>
          <w:rFonts w:hint="eastAsia"/>
        </w:rPr>
        <w:t>磋商文件是供应商准备响应文件和参加采购活动的依据，同时也是磋商的重要依据。磋商文件用以阐明磋商项目所需的资质、技术、服务及报价等要求、磋商程序、有关规定和注意事项以及合同主要条款等。</w:t>
      </w:r>
    </w:p>
    <w:p>
      <w:pPr>
        <w:pStyle w:val="6"/>
      </w:pPr>
      <w:r>
        <w:rPr>
          <w:rFonts w:hint="eastAsia"/>
        </w:rPr>
        <w:t>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pPr>
        <w:pStyle w:val="5"/>
      </w:pPr>
      <w:bookmarkStart w:id="49" w:name="_Toc91071083"/>
      <w:bookmarkStart w:id="50" w:name="_Toc87641156"/>
      <w:bookmarkStart w:id="51" w:name="_Toc88748210"/>
      <w:r>
        <w:rPr>
          <w:rFonts w:hint="eastAsia"/>
        </w:rPr>
        <w:t>磋商文件的澄清和修改</w:t>
      </w:r>
      <w:bookmarkEnd w:id="49"/>
      <w:bookmarkEnd w:id="50"/>
      <w:bookmarkEnd w:id="51"/>
    </w:p>
    <w:p>
      <w:pPr>
        <w:pStyle w:val="6"/>
      </w:pPr>
      <w:r>
        <w:t>提交首次响应文件截止之日前，采购人或者磋商小组可以对已发出的磋商文件进行必要的澄清或者修改，澄清或者修改的内容作为磋商文件的组成部分。澄清或者修改的内容可能影响响应文件编制的，采购人应当在提交首次响应文件截止时间至少5日前，以书面形式通知所有获取磋商文件的供应商；不足5日的，采购人应当顺延提交首次响应文件截止时间。</w:t>
      </w:r>
    </w:p>
    <w:p>
      <w:pPr>
        <w:pStyle w:val="6"/>
      </w:pPr>
      <w:r>
        <w:t>供应商认为采购单位需要对磋商文件进行澄清或者修改的，可以以书面形式向采购单位提出申请，由采购单位决定是否采纳供应商的申请事项。</w:t>
      </w:r>
    </w:p>
    <w:p>
      <w:pPr>
        <w:pStyle w:val="5"/>
      </w:pPr>
      <w:bookmarkStart w:id="52" w:name="_Toc88748211"/>
      <w:bookmarkStart w:id="53" w:name="_Toc91071084"/>
      <w:bookmarkStart w:id="54" w:name="_Toc87641157"/>
      <w:r>
        <w:rPr>
          <w:rFonts w:hint="eastAsia"/>
        </w:rPr>
        <w:t>答疑会和现场考察</w:t>
      </w:r>
      <w:bookmarkEnd w:id="52"/>
      <w:bookmarkEnd w:id="53"/>
      <w:bookmarkEnd w:id="54"/>
    </w:p>
    <w:p>
      <w:pPr>
        <w:pStyle w:val="6"/>
      </w:pPr>
      <w:r>
        <w:rPr>
          <w:rFonts w:hint="eastAsia"/>
        </w:rPr>
        <w:t>根据采购项目和具体情况，采购人认为有必要，可以在磋商文件提供期限截止后响应文件提交截止前，组织已获取磋商文件的潜在供应商现场考察或者召开答疑会。</w:t>
      </w:r>
    </w:p>
    <w:p>
      <w:pPr>
        <w:pStyle w:val="6"/>
      </w:pPr>
      <w:r>
        <w:rPr>
          <w:rFonts w:hint="eastAsia"/>
        </w:rPr>
        <w:t>采购人组织现场考察或者召开答疑会的，将以书面形式通知所有获取磋商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pStyle w:val="6"/>
      </w:pPr>
      <w:r>
        <w:rPr>
          <w:rFonts w:hint="eastAsia"/>
        </w:rPr>
        <w:t>供应商自行承担参加答疑会和现场考察的一切费用。</w:t>
      </w:r>
    </w:p>
    <w:p>
      <w:pPr>
        <w:pStyle w:val="4"/>
        <w:rPr>
          <w:rFonts w:ascii="仿宋" w:hAnsi="仿宋" w:eastAsia="仿宋"/>
        </w:rPr>
      </w:pPr>
      <w:bookmarkStart w:id="55" w:name="_Toc24102"/>
      <w:r>
        <w:rPr>
          <w:rFonts w:hint="eastAsia" w:ascii="仿宋" w:hAnsi="仿宋" w:eastAsia="仿宋"/>
        </w:rPr>
        <w:t>响应文件</w:t>
      </w:r>
      <w:bookmarkEnd w:id="55"/>
    </w:p>
    <w:p>
      <w:pPr>
        <w:pStyle w:val="5"/>
      </w:pPr>
      <w:bookmarkStart w:id="56" w:name="_Toc87641159"/>
      <w:bookmarkStart w:id="57" w:name="_Toc91071086"/>
      <w:bookmarkStart w:id="58" w:name="_Toc88748213"/>
      <w:r>
        <w:rPr>
          <w:rFonts w:hint="eastAsia"/>
        </w:rPr>
        <w:t>响应文件的语言（实质性要求）</w:t>
      </w:r>
      <w:bookmarkEnd w:id="56"/>
      <w:bookmarkEnd w:id="57"/>
      <w:bookmarkEnd w:id="58"/>
    </w:p>
    <w:p>
      <w:pPr>
        <w:pStyle w:val="6"/>
      </w:pPr>
      <w:r>
        <w:rPr>
          <w:rFonts w:hint="eastAsia"/>
        </w:rPr>
        <w:t>供应商提交的响应文件以及供应商与采购人就有关磋商的所有来往书面文件均须使用中文。响应文件中如附有外文资料，必须逐一对应翻译成中文并加盖供应商公章后附在相关外文资料后面，否则，涉及资格性和</w:t>
      </w:r>
      <w:r>
        <w:t>实质性的，</w:t>
      </w:r>
      <w:r>
        <w:rPr>
          <w:rFonts w:hint="eastAsia"/>
        </w:rPr>
        <w:t>供应商的响应文件将作为无效处理，</w:t>
      </w:r>
      <w:r>
        <w:t>不涉及</w:t>
      </w:r>
      <w:r>
        <w:rPr>
          <w:rFonts w:hint="eastAsia"/>
        </w:rPr>
        <w:t>资格性和</w:t>
      </w:r>
      <w:r>
        <w:t>实质性的，</w:t>
      </w:r>
      <w:r>
        <w:rPr>
          <w:rFonts w:hint="eastAsia"/>
        </w:rPr>
        <w:t>所提供的外文资料将可能被视为无效材料。（说明：供应商的法定代表人为外籍人士的，法定代表人的签字和护照除外。）</w:t>
      </w:r>
    </w:p>
    <w:p>
      <w:pPr>
        <w:pStyle w:val="6"/>
      </w:pPr>
      <w:r>
        <w:rPr>
          <w:rFonts w:hint="eastAsia"/>
        </w:rPr>
        <w:t>翻译的中文资料与外文资料如果出现差异和矛盾，以中文为准。但不能故意错误翻译，否则，涉及资格性和</w:t>
      </w:r>
      <w:r>
        <w:t>实质性的，</w:t>
      </w:r>
      <w:r>
        <w:rPr>
          <w:rFonts w:hint="eastAsia"/>
        </w:rPr>
        <w:t>供应商的响应文件将作为无效处理，</w:t>
      </w:r>
      <w:r>
        <w:t>不涉及</w:t>
      </w:r>
      <w:r>
        <w:rPr>
          <w:rFonts w:hint="eastAsia"/>
        </w:rPr>
        <w:t>资格性和</w:t>
      </w:r>
      <w:r>
        <w:t>实质性的，</w:t>
      </w:r>
      <w:r>
        <w:rPr>
          <w:rFonts w:hint="eastAsia"/>
        </w:rPr>
        <w:t>所提供的外文资料将可能被视为无效材料。</w:t>
      </w:r>
    </w:p>
    <w:p>
      <w:pPr>
        <w:pStyle w:val="5"/>
      </w:pPr>
      <w:bookmarkStart w:id="59" w:name="_Toc88748214"/>
      <w:bookmarkStart w:id="60" w:name="_Toc87641160"/>
      <w:bookmarkStart w:id="61" w:name="_Toc91071087"/>
      <w:r>
        <w:rPr>
          <w:rFonts w:hint="eastAsia"/>
        </w:rPr>
        <w:t>计量单位（实质性要求）</w:t>
      </w:r>
      <w:bookmarkEnd w:id="59"/>
      <w:bookmarkEnd w:id="60"/>
      <w:bookmarkEnd w:id="61"/>
    </w:p>
    <w:p>
      <w:pPr>
        <w:ind w:firstLine="480"/>
      </w:pPr>
      <w:r>
        <w:rPr>
          <w:rFonts w:hint="eastAsia"/>
        </w:rPr>
        <w:t>除磋商文件中另有规定外，本次采购项目所有合同项下的报价均采用国家法定的计量单位。</w:t>
      </w:r>
    </w:p>
    <w:p>
      <w:pPr>
        <w:pStyle w:val="5"/>
      </w:pPr>
      <w:bookmarkStart w:id="62" w:name="_Toc91071088"/>
      <w:bookmarkStart w:id="63" w:name="_Toc88748215"/>
      <w:bookmarkStart w:id="64" w:name="_Toc87641161"/>
      <w:r>
        <w:rPr>
          <w:rFonts w:hint="eastAsia"/>
        </w:rPr>
        <w:t>报价要求</w:t>
      </w:r>
      <w:bookmarkEnd w:id="62"/>
      <w:bookmarkEnd w:id="63"/>
      <w:bookmarkEnd w:id="64"/>
    </w:p>
    <w:p>
      <w:pPr>
        <w:pStyle w:val="6"/>
      </w:pPr>
      <w:r>
        <w:t>供应商应按可直接采用本文件“第五章 响应文件格式”中的“首轮报价表格式”在响应文件中作出报价，在通过资格审查、</w:t>
      </w:r>
      <w:r>
        <w:rPr>
          <w:rFonts w:hint="eastAsia"/>
        </w:rPr>
        <w:t>实质性审查、</w:t>
      </w:r>
      <w:r>
        <w:t>磋商后按照“第五章 响应文件格式”</w:t>
      </w:r>
      <w:r>
        <w:rPr>
          <w:rFonts w:hint="eastAsia"/>
        </w:rPr>
        <w:t>中的</w:t>
      </w:r>
      <w:r>
        <w:t xml:space="preserve">“最后报价表格式”进行现场报价，并且按照磋商文件的要求填写、密封。 </w:t>
      </w:r>
    </w:p>
    <w:p>
      <w:pPr>
        <w:pStyle w:val="6"/>
      </w:pPr>
      <w:r>
        <w:t>在磋商结束后，供应商按照项目内容</w:t>
      </w:r>
      <w:r>
        <w:rPr>
          <w:rFonts w:hint="eastAsia"/>
        </w:rPr>
        <w:t>（包含体现完成项目的全部工作）</w:t>
      </w:r>
      <w:r>
        <w:t>进行最后报价</w:t>
      </w:r>
      <w:r>
        <w:rPr>
          <w:rFonts w:hint="eastAsia"/>
        </w:rPr>
        <w:t>。（实质性</w:t>
      </w:r>
      <w:r>
        <w:t>要求</w:t>
      </w:r>
      <w:r>
        <w:rPr>
          <w:rFonts w:hint="eastAsia"/>
        </w:rPr>
        <w:t>）</w:t>
      </w:r>
    </w:p>
    <w:p>
      <w:pPr>
        <w:pStyle w:val="6"/>
      </w:pPr>
      <w:r>
        <w:t>供应商的报价是供应商响应磋商项目要求的全部工作内容的价格体现，包括供应商完成本项目所需的一切费用。（实质性要求）</w:t>
      </w:r>
    </w:p>
    <w:p>
      <w:pPr>
        <w:pStyle w:val="6"/>
      </w:pPr>
      <w:r>
        <w:t>供应商报价资料应当签字确认或者加盖公章，否则无效。（实质性要求）</w:t>
      </w:r>
    </w:p>
    <w:p>
      <w:pPr>
        <w:pStyle w:val="5"/>
      </w:pPr>
      <w:bookmarkStart w:id="65" w:name="_Toc87641162"/>
      <w:bookmarkStart w:id="66" w:name="_Toc91071089"/>
      <w:bookmarkStart w:id="67" w:name="_Toc88748216"/>
      <w:r>
        <w:rPr>
          <w:rFonts w:hint="eastAsia"/>
        </w:rPr>
        <w:t>报价货币</w:t>
      </w:r>
      <w:r>
        <w:t>（实质性要求）</w:t>
      </w:r>
      <w:bookmarkEnd w:id="65"/>
      <w:bookmarkEnd w:id="66"/>
      <w:bookmarkEnd w:id="67"/>
    </w:p>
    <w:p>
      <w:pPr>
        <w:ind w:firstLine="480"/>
      </w:pPr>
      <w:r>
        <w:rPr>
          <w:rFonts w:hint="eastAsia"/>
        </w:rPr>
        <w:t>本项目以人民币进行报价（项目最高限价为折扣率或其他形式时，则供应商必须按照最高限价体现的形式进行报价），以人民币进行结算。</w:t>
      </w:r>
    </w:p>
    <w:p>
      <w:pPr>
        <w:pStyle w:val="5"/>
      </w:pPr>
      <w:bookmarkStart w:id="68" w:name="_Toc88748217"/>
      <w:bookmarkStart w:id="69" w:name="_Toc91071090"/>
      <w:bookmarkStart w:id="70" w:name="_Toc87641163"/>
      <w:r>
        <w:rPr>
          <w:rFonts w:hint="eastAsia"/>
        </w:rPr>
        <w:t>响应文件的格式、编制、签署、密封和标注</w:t>
      </w:r>
      <w:bookmarkEnd w:id="68"/>
      <w:bookmarkEnd w:id="69"/>
      <w:bookmarkEnd w:id="70"/>
    </w:p>
    <w:p>
      <w:pPr>
        <w:pStyle w:val="6"/>
      </w:pPr>
      <w:r>
        <w:rPr>
          <w:rFonts w:hint="eastAsia"/>
        </w:rPr>
        <w:t>供应商应参照磋商文件第五章要求的格式进行编制，对于没有格式要求的响应文件由供应商自行编写，如涉及实质性格式的须要按照格式编制。（实质性要求）</w:t>
      </w:r>
    </w:p>
    <w:p>
      <w:pPr>
        <w:pStyle w:val="6"/>
      </w:pPr>
      <w:r>
        <w:rPr>
          <w:rFonts w:hint="eastAsia"/>
        </w:rPr>
        <w:t>参加磋商的供应商应按照磋商文件的要求准备响应文件。响应文件分为《资格性响应文件》和《其他响应文件》两部分。</w:t>
      </w:r>
    </w:p>
    <w:p>
      <w:pPr>
        <w:pStyle w:val="6"/>
      </w:pPr>
      <w:r>
        <w:rPr>
          <w:rFonts w:hint="eastAsia"/>
        </w:rPr>
        <w:t>关</w:t>
      </w:r>
      <w:r>
        <w:t>于</w:t>
      </w:r>
      <w:r>
        <w:rPr>
          <w:rFonts w:hint="eastAsia"/>
        </w:rPr>
        <w:t>磋商</w:t>
      </w:r>
      <w:r>
        <w:t>文件中的实质性响应均须由供应商签署盖章，</w:t>
      </w:r>
      <w:r>
        <w:rPr>
          <w:rFonts w:hint="eastAsia"/>
        </w:rPr>
        <w:t>磋商</w:t>
      </w:r>
      <w:r>
        <w:t>文件有格式的，供应商可参照格式进行应答并签署盖章，如</w:t>
      </w:r>
      <w:r>
        <w:rPr>
          <w:rFonts w:hint="eastAsia"/>
        </w:rPr>
        <w:t>磋商</w:t>
      </w:r>
      <w:r>
        <w:t>文件没有格式的，供应商应自行按照</w:t>
      </w:r>
      <w:r>
        <w:rPr>
          <w:rFonts w:hint="eastAsia"/>
        </w:rPr>
        <w:t>磋商</w:t>
      </w:r>
      <w:r>
        <w:t>文件要求进行应答并签署盖章。报价部分（</w:t>
      </w:r>
      <w:r>
        <w:rPr>
          <w:rFonts w:hint="eastAsia"/>
        </w:rPr>
        <w:t>首轮</w:t>
      </w:r>
      <w:r>
        <w:t>报价表、最后报价表）均须由供应商签署或盖章。</w:t>
      </w:r>
      <w:r>
        <w:rPr>
          <w:rFonts w:hint="eastAsia"/>
        </w:rPr>
        <w:t>（实质性要求）</w:t>
      </w:r>
    </w:p>
    <w:p>
      <w:pPr>
        <w:pStyle w:val="6"/>
      </w:pPr>
      <w:r>
        <w:rPr>
          <w:rFonts w:hint="eastAsia"/>
        </w:rPr>
        <w:t>分册装订（正、副也须分别分册装订）。《资格性响应文件》和《其他响应文件》正本壹份，副本贰份。</w:t>
      </w:r>
    </w:p>
    <w:p>
      <w:pPr>
        <w:pStyle w:val="6"/>
      </w:pPr>
      <w:r>
        <w:rPr>
          <w:rFonts w:hint="eastAsia"/>
        </w:rPr>
        <w:t>密封封面上标注“正本”或“副本”等字样，所有响应文件需注明项目名称、分包号和供应商名称。响应文件的打印和书写应清楚工整，任何行间插字、涂改或增删，供应商为法人的，由供应商法定代表人或其授权代表签字并盖供应商公章；供应商为其他组织的，由供应商主要负责人或其授权代表签字并盖供应商公章；供应商为自然人的，由其本人或其授权代表签字。响应文件正本和副本应采用胶装方式装订成册，不得散装或者活页装订，响应文件应根据磋商文件的要求制作，签署、盖章，响应文件统一用</w:t>
      </w:r>
      <w:r>
        <w:t>A4</w:t>
      </w:r>
      <w:r>
        <w:rPr>
          <w:rFonts w:hint="eastAsia"/>
        </w:rPr>
        <w:t>幅面纸印制，除另有规定外。</w:t>
      </w:r>
    </w:p>
    <w:p>
      <w:pPr>
        <w:pStyle w:val="6"/>
      </w:pPr>
      <w:r>
        <w:rPr>
          <w:rFonts w:hint="eastAsia"/>
        </w:rPr>
        <w:t>响应文件需打印或用不褪色、不变质的墨水书写。供应商为法人的，响应文件应由供应商法定代表人或其授权代表在响应文件要求的地方签字（或加盖私人印章），要求加盖公章的地方加盖单位公章 ，不得使用专用章（如经济合同章、投标专用章等）或下属单位印章代替；供应商为其他组织的，响应文件应由供应商主要负责人或其授权代表在响应文件要求的地方签字（或加盖私人印章），要求加盖公章的地方加盖单位公章，不得使用专用章（如经济合同章、投标专用章等）或下属单位印章代替；供应商为自然人的，响应文件应由其本人或其授权代表在响应文件要求的地方签字或加盖私人印章。（实质性要求）</w:t>
      </w:r>
    </w:p>
    <w:p>
      <w:pPr>
        <w:pStyle w:val="6"/>
      </w:pPr>
      <w:r>
        <w:t>供应商参加一个分包投标（响应）的，《资格性响应文件》和《其他响应文件》可以单独密封包装，也可以包装在一个密封袋内。参加多个分包的投标（响应），其各分包的响应文件应当单独制作，即各个分包均需要单独制作《资格性响应文件》和《其他响应文件》。相同分包的《资格性响应文件》和《其他响应文件》可以单独密封包装，也可以包装在一个密封袋内。不同分包的响应文件必须单独密封包装。响应文件密封袋的最外层应清楚地标明项目名称、分包号及名称、供应商名称。所有外层密封袋的封口处应粘贴牢固。未按以上要求进行密封和标注的响应文件，采购人将拒收。</w:t>
      </w:r>
      <w:r>
        <w:rPr>
          <w:rFonts w:hint="eastAsia"/>
        </w:rPr>
        <w:t>本条约定不属于本项目磋商小组评审范畴，由采购人在接收响应文件时及时处理。</w:t>
      </w:r>
    </w:p>
    <w:p>
      <w:pPr>
        <w:pStyle w:val="5"/>
      </w:pPr>
      <w:bookmarkStart w:id="71" w:name="_Toc87641164"/>
      <w:bookmarkStart w:id="72" w:name="_Toc91071091"/>
      <w:bookmarkStart w:id="73" w:name="_Toc88748218"/>
      <w:r>
        <w:rPr>
          <w:rFonts w:hint="eastAsia"/>
        </w:rPr>
        <w:t>响应文件的递交</w:t>
      </w:r>
      <w:bookmarkEnd w:id="71"/>
      <w:bookmarkEnd w:id="72"/>
      <w:bookmarkEnd w:id="73"/>
    </w:p>
    <w:p>
      <w:pPr>
        <w:pStyle w:val="6"/>
      </w:pPr>
      <w:r>
        <w:rPr>
          <w:rFonts w:hint="eastAsia"/>
        </w:rPr>
        <w:t xml:space="preserve"> </w:t>
      </w:r>
      <w:r>
        <w:t>供应商应在磋商文件规定的提交响应文件截止时间前，将响应文件密封后送达磋商地点，现场递交响应文件。在规定的递交响应文件截止时间后送达的响应文件，不予接收。本次采购</w:t>
      </w:r>
      <w:r>
        <w:rPr>
          <w:rFonts w:hint="eastAsia"/>
        </w:rPr>
        <w:t>活动</w:t>
      </w:r>
      <w:r>
        <w:t>不接收邮寄的响应文件</w:t>
      </w:r>
      <w:r>
        <w:rPr>
          <w:rFonts w:hint="eastAsia"/>
        </w:rPr>
        <w:t>。</w:t>
      </w:r>
    </w:p>
    <w:p>
      <w:pPr>
        <w:pStyle w:val="6"/>
      </w:pPr>
      <w:r>
        <w:rPr>
          <w:rFonts w:hint="eastAsia"/>
        </w:rPr>
        <w:t>未按规定购买本项目磋商文件（未参与本项目报名）的供应商，采购人将不予接收响应文件。</w:t>
      </w:r>
    </w:p>
    <w:p>
      <w:pPr>
        <w:pStyle w:val="5"/>
      </w:pPr>
      <w:bookmarkStart w:id="74" w:name="_Toc87641165"/>
      <w:bookmarkStart w:id="75" w:name="_Toc91071092"/>
      <w:bookmarkStart w:id="76" w:name="_Toc88748219"/>
      <w:r>
        <w:rPr>
          <w:rFonts w:hint="eastAsia"/>
        </w:rPr>
        <w:t>响应文件的修改和撤回</w:t>
      </w:r>
      <w:bookmarkEnd w:id="74"/>
      <w:bookmarkEnd w:id="75"/>
      <w:bookmarkEnd w:id="76"/>
    </w:p>
    <w:p>
      <w:pPr>
        <w:pStyle w:val="6"/>
      </w:pPr>
      <w:r>
        <w:t>供应商在提交响应文件后可对其响应文件进行修改或撤回，但该修改或撤回的书面通知须在递交截止时间之前送达，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pPr>
        <w:pStyle w:val="6"/>
      </w:pPr>
      <w:r>
        <w:t>供应商对响应文件修改的书面材料或撤回的通知应该按规定进行编写、密封、标注和递送，并注明“修改响应文件”字样。</w:t>
      </w:r>
      <w:r>
        <w:rPr>
          <w:rFonts w:hint="eastAsia"/>
        </w:rPr>
        <w:t>补充、修改响应文件的密封和标注按照本章“</w:t>
      </w:r>
      <w:r>
        <w:t>18.响应文件的格式、编制、签署、密封和标注”</w:t>
      </w:r>
      <w:r>
        <w:rPr>
          <w:rFonts w:hint="eastAsia"/>
        </w:rPr>
        <w:t>的</w:t>
      </w:r>
      <w:r>
        <w:t>规定处理</w:t>
      </w:r>
      <w:r>
        <w:rPr>
          <w:rFonts w:hint="eastAsia"/>
        </w:rPr>
        <w:t>。</w:t>
      </w:r>
    </w:p>
    <w:p>
      <w:pPr>
        <w:pStyle w:val="6"/>
      </w:pPr>
      <w:r>
        <w:rPr>
          <w:rFonts w:hint="eastAsia"/>
        </w:rPr>
        <w:t>递交响应文件截止时间后，供应商不得对其递交的响应文件做任何补充、修改。</w:t>
      </w:r>
    </w:p>
    <w:p>
      <w:pPr>
        <w:pStyle w:val="4"/>
        <w:rPr>
          <w:rFonts w:ascii="仿宋" w:hAnsi="仿宋" w:eastAsia="仿宋"/>
        </w:rPr>
      </w:pPr>
      <w:bookmarkStart w:id="77" w:name="_Toc15354"/>
      <w:r>
        <w:rPr>
          <w:rFonts w:hint="eastAsia" w:ascii="仿宋" w:hAnsi="仿宋" w:eastAsia="仿宋"/>
        </w:rPr>
        <w:t>磋商及评审程序</w:t>
      </w:r>
      <w:bookmarkEnd w:id="77"/>
    </w:p>
    <w:p>
      <w:pPr>
        <w:ind w:firstLine="480"/>
      </w:pPr>
      <w:r>
        <w:rPr>
          <w:rFonts w:hint="eastAsia"/>
        </w:rPr>
        <w:t>磋商小组的组建及评审工作按照本磋商文件第六章和相关法律法规的规定进行。</w:t>
      </w:r>
    </w:p>
    <w:p>
      <w:pPr>
        <w:pStyle w:val="4"/>
        <w:rPr>
          <w:rFonts w:ascii="仿宋" w:hAnsi="仿宋" w:eastAsia="仿宋"/>
        </w:rPr>
      </w:pPr>
      <w:bookmarkStart w:id="78" w:name="_Toc11363"/>
      <w:r>
        <w:rPr>
          <w:rFonts w:hint="eastAsia" w:ascii="仿宋" w:hAnsi="仿宋" w:eastAsia="仿宋"/>
        </w:rPr>
        <w:t>成交事项</w:t>
      </w:r>
      <w:bookmarkEnd w:id="78"/>
    </w:p>
    <w:p>
      <w:pPr>
        <w:pStyle w:val="5"/>
      </w:pPr>
      <w:bookmarkStart w:id="79" w:name="_Toc91071095"/>
      <w:bookmarkStart w:id="80" w:name="_Toc88748222"/>
      <w:bookmarkStart w:id="81" w:name="_Toc87641168"/>
      <w:r>
        <w:rPr>
          <w:rFonts w:hint="eastAsia"/>
        </w:rPr>
        <w:t>确定成交供应商</w:t>
      </w:r>
      <w:bookmarkEnd w:id="79"/>
      <w:bookmarkEnd w:id="80"/>
      <w:bookmarkEnd w:id="81"/>
    </w:p>
    <w:p>
      <w:pPr>
        <w:pStyle w:val="6"/>
      </w:pPr>
      <w:r>
        <w:rPr>
          <w:rFonts w:hint="eastAsia"/>
        </w:rPr>
        <w:t>成交通知书为签订采购合同的依据之一，是合同的有效组成部分。</w:t>
      </w:r>
    </w:p>
    <w:p>
      <w:pPr>
        <w:pStyle w:val="6"/>
      </w:pPr>
      <w:r>
        <w:rPr>
          <w:rFonts w:hint="eastAsia"/>
        </w:rPr>
        <w:t>成交通知书对采购人和成交人均具有法律效力。成交通知书发出后，采购人改变成交结果，或者成交人无正当理由放弃成交的，应当承担相应的法律责任。</w:t>
      </w:r>
    </w:p>
    <w:p>
      <w:pPr>
        <w:pStyle w:val="4"/>
        <w:rPr>
          <w:rFonts w:ascii="仿宋" w:hAnsi="仿宋" w:eastAsia="仿宋"/>
        </w:rPr>
      </w:pPr>
      <w:bookmarkStart w:id="82" w:name="_Toc21866"/>
      <w:r>
        <w:rPr>
          <w:rFonts w:hint="eastAsia" w:ascii="仿宋" w:hAnsi="仿宋" w:eastAsia="仿宋"/>
        </w:rPr>
        <w:t>合同事项</w:t>
      </w:r>
      <w:bookmarkEnd w:id="82"/>
    </w:p>
    <w:p>
      <w:pPr>
        <w:pStyle w:val="5"/>
      </w:pPr>
      <w:bookmarkStart w:id="83" w:name="_Toc88748224"/>
      <w:bookmarkStart w:id="84" w:name="_Toc91071097"/>
      <w:bookmarkStart w:id="85" w:name="_Toc87641170"/>
      <w:r>
        <w:rPr>
          <w:rFonts w:hint="eastAsia"/>
        </w:rPr>
        <w:t>签定合同</w:t>
      </w:r>
      <w:bookmarkEnd w:id="83"/>
      <w:bookmarkEnd w:id="84"/>
      <w:bookmarkEnd w:id="85"/>
    </w:p>
    <w:p>
      <w:pPr>
        <w:pStyle w:val="6"/>
      </w:pPr>
      <w:r>
        <w:t>成交供应商应在成交通知书发出之日起三十日内与采购人签订采购合同。</w:t>
      </w:r>
    </w:p>
    <w:p>
      <w:pPr>
        <w:pStyle w:val="6"/>
      </w:pPr>
      <w:r>
        <w:t>磋商文件、成交供应商提交的响应文件、磋商中的报价、成交供应商承诺书、成交通知书等均称为有法律约束力的合同组成内容。</w:t>
      </w:r>
    </w:p>
    <w:p>
      <w:pPr>
        <w:pStyle w:val="6"/>
      </w:pPr>
      <w:r>
        <w:t>采购人不得与成交供应商私下订立背离合同实质性内容的任何协议，所签订的合同不得对磋商文件和成交供应商响应文件确定的事项进行修改。</w:t>
      </w:r>
    </w:p>
    <w:p>
      <w:pPr>
        <w:pStyle w:val="6"/>
      </w:pPr>
      <w:r>
        <w:t>成交供应商因不可抗力原因不能履行采购合同或放弃成交的，采购人可以与排在成交供应商之后第一位的成交候选人签订采购合同，以此类推。</w:t>
      </w:r>
    </w:p>
    <w:p>
      <w:pPr>
        <w:pStyle w:val="5"/>
      </w:pPr>
      <w:bookmarkStart w:id="86" w:name="_Toc91071098"/>
      <w:bookmarkStart w:id="87" w:name="_Toc88748225"/>
      <w:bookmarkStart w:id="88" w:name="_Toc87641171"/>
      <w:r>
        <w:rPr>
          <w:rFonts w:hint="eastAsia"/>
        </w:rPr>
        <w:t>合同转包（实质性要求）</w:t>
      </w:r>
      <w:bookmarkEnd w:id="86"/>
      <w:bookmarkEnd w:id="87"/>
      <w:bookmarkEnd w:id="88"/>
    </w:p>
    <w:p>
      <w:pPr>
        <w:ind w:firstLine="480"/>
      </w:pPr>
      <w:r>
        <w:rPr>
          <w:rFonts w:hint="eastAsia"/>
        </w:rPr>
        <w:t>本采购项目严禁成交供应商将任何采购合同转包。本项目所称转包，是指成交供应商将采购合同义务转让给第三人，并退出现有采购合同当事人双方的权利义务关系，受让人（即第三人）成为采购合同的另一方当事人的行为。</w:t>
      </w:r>
    </w:p>
    <w:p>
      <w:pPr>
        <w:ind w:firstLine="480"/>
      </w:pPr>
      <w:r>
        <w:rPr>
          <w:rFonts w:hint="eastAsia"/>
        </w:rPr>
        <w:t>成交供应商转包的，视同拒绝履行采购合同义务，将依法追究法律责任。</w:t>
      </w:r>
    </w:p>
    <w:p>
      <w:pPr>
        <w:pStyle w:val="5"/>
      </w:pPr>
      <w:bookmarkStart w:id="89" w:name="_Toc87641172"/>
      <w:bookmarkStart w:id="90" w:name="_Toc91071099"/>
      <w:bookmarkStart w:id="91" w:name="_Toc88748226"/>
      <w:r>
        <w:rPr>
          <w:rFonts w:hint="eastAsia"/>
        </w:rPr>
        <w:t>补充合同</w:t>
      </w:r>
      <w:bookmarkEnd w:id="89"/>
      <w:bookmarkEnd w:id="90"/>
      <w:bookmarkEnd w:id="91"/>
    </w:p>
    <w:p>
      <w:pPr>
        <w:ind w:firstLine="480"/>
      </w:pPr>
      <w:r>
        <w:rPr>
          <w:rFonts w:hint="eastAsia"/>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pStyle w:val="5"/>
      </w:pPr>
      <w:bookmarkStart w:id="92" w:name="_Toc87641176"/>
      <w:bookmarkStart w:id="93" w:name="_Toc91071101"/>
      <w:bookmarkStart w:id="94" w:name="_Toc88748230"/>
      <w:r>
        <w:rPr>
          <w:rFonts w:hint="eastAsia"/>
        </w:rPr>
        <w:t>履行合同</w:t>
      </w:r>
      <w:bookmarkEnd w:id="92"/>
      <w:bookmarkEnd w:id="93"/>
      <w:bookmarkEnd w:id="94"/>
    </w:p>
    <w:p>
      <w:pPr>
        <w:pStyle w:val="6"/>
      </w:pPr>
      <w:r>
        <w:t>成交供应商与采购人签订合同后，合同双方应严格执行合同条款，履行合同规定的义务，保证合同的顺利完成。</w:t>
      </w:r>
    </w:p>
    <w:p>
      <w:pPr>
        <w:pStyle w:val="6"/>
      </w:pPr>
      <w:r>
        <w:t>在合同履行过程中，如发生合同纠纷，按照“第七章  采购合同（草案）”中“解决合同纠纷的方式”约定的方式执行。</w:t>
      </w:r>
    </w:p>
    <w:p>
      <w:pPr>
        <w:pStyle w:val="5"/>
      </w:pPr>
      <w:bookmarkStart w:id="95" w:name="_Toc91071102"/>
      <w:bookmarkStart w:id="96" w:name="_Toc87641178"/>
      <w:bookmarkStart w:id="97" w:name="_Toc88748232"/>
      <w:r>
        <w:rPr>
          <w:rFonts w:hint="eastAsia"/>
        </w:rPr>
        <w:t>资金支付</w:t>
      </w:r>
      <w:bookmarkEnd w:id="95"/>
      <w:bookmarkEnd w:id="96"/>
      <w:bookmarkEnd w:id="97"/>
    </w:p>
    <w:p>
      <w:pPr>
        <w:ind w:firstLine="480"/>
      </w:pPr>
      <w:r>
        <w:rPr>
          <w:rFonts w:hint="eastAsia"/>
        </w:rPr>
        <w:t>采购人将按照本</w:t>
      </w:r>
      <w:r>
        <w:t>项目</w:t>
      </w:r>
      <w:r>
        <w:rPr>
          <w:rFonts w:hint="eastAsia"/>
        </w:rPr>
        <w:t>采购合同规定，及时向成交供应商支付采购资金</w:t>
      </w:r>
      <w:r>
        <w:t>。</w:t>
      </w:r>
    </w:p>
    <w:p>
      <w:pPr>
        <w:pStyle w:val="5"/>
      </w:pPr>
      <w:bookmarkStart w:id="98" w:name="_Toc91071103"/>
      <w:bookmarkStart w:id="99" w:name="_Toc87641179"/>
      <w:bookmarkStart w:id="100" w:name="_Toc88748233"/>
      <w:r>
        <w:rPr>
          <w:rFonts w:hint="eastAsia"/>
        </w:rPr>
        <w:t>磋商纪律要求</w:t>
      </w:r>
      <w:bookmarkEnd w:id="98"/>
      <w:bookmarkEnd w:id="99"/>
      <w:bookmarkEnd w:id="100"/>
    </w:p>
    <w:p>
      <w:pPr>
        <w:pStyle w:val="6"/>
      </w:pPr>
      <w:r>
        <w:rPr>
          <w:rFonts w:hint="eastAsia"/>
        </w:rPr>
        <w:t>供应商不得具有的情形（实质性要求）：</w:t>
      </w:r>
    </w:p>
    <w:p>
      <w:pPr>
        <w:ind w:firstLine="480"/>
      </w:pPr>
      <w:r>
        <w:rPr>
          <w:rFonts w:hint="eastAsia"/>
        </w:rPr>
        <w:t>供应商参加本项目磋商不得有下列情形：</w:t>
      </w:r>
    </w:p>
    <w:p>
      <w:pPr>
        <w:ind w:firstLine="480"/>
      </w:pPr>
      <w:r>
        <w:rPr>
          <w:rFonts w:hint="eastAsia"/>
        </w:rPr>
        <w:t>（</w:t>
      </w:r>
      <w:r>
        <w:t>1）提供虚假材料谋取成交；</w:t>
      </w:r>
    </w:p>
    <w:p>
      <w:pPr>
        <w:ind w:firstLine="480"/>
      </w:pPr>
      <w:r>
        <w:rPr>
          <w:rFonts w:hint="eastAsia"/>
        </w:rPr>
        <w:t>（</w:t>
      </w:r>
      <w:r>
        <w:t>2）采取不正当手段诋毁、排挤其他供应商；</w:t>
      </w:r>
    </w:p>
    <w:p>
      <w:pPr>
        <w:ind w:firstLine="480"/>
      </w:pPr>
      <w:r>
        <w:rPr>
          <w:rFonts w:hint="eastAsia"/>
        </w:rPr>
        <w:t>（</w:t>
      </w:r>
      <w:r>
        <w:t>3）与采购人或其他供应商恶意串通；</w:t>
      </w:r>
    </w:p>
    <w:p>
      <w:pPr>
        <w:ind w:firstLine="480"/>
      </w:pPr>
      <w:r>
        <w:rPr>
          <w:rFonts w:hint="eastAsia"/>
        </w:rPr>
        <w:t>（</w:t>
      </w:r>
      <w:r>
        <w:t>4）向采购人、磋商小组成员行贿或者提供其他不正当利益；</w:t>
      </w:r>
    </w:p>
    <w:p>
      <w:pPr>
        <w:ind w:firstLine="480"/>
      </w:pPr>
      <w:r>
        <w:rPr>
          <w:rFonts w:hint="eastAsia"/>
        </w:rPr>
        <w:t>（</w:t>
      </w:r>
      <w:r>
        <w:t>5）在磋商过程中与采购人进行协商；</w:t>
      </w:r>
    </w:p>
    <w:p>
      <w:pPr>
        <w:ind w:firstLine="480"/>
      </w:pPr>
      <w:r>
        <w:rPr>
          <w:rFonts w:hint="eastAsia"/>
        </w:rPr>
        <w:t>（</w:t>
      </w:r>
      <w:r>
        <w:t>6）成交后无正当理由拒不与采购人签订采购合同；</w:t>
      </w:r>
    </w:p>
    <w:p>
      <w:pPr>
        <w:ind w:firstLine="480"/>
      </w:pPr>
      <w:r>
        <w:rPr>
          <w:rFonts w:hint="eastAsia"/>
        </w:rPr>
        <w:t>（</w:t>
      </w:r>
      <w:r>
        <w:t>7）未按照磋商文件确定的事项签订采购合同；</w:t>
      </w:r>
    </w:p>
    <w:p>
      <w:pPr>
        <w:ind w:firstLine="480"/>
      </w:pPr>
      <w:r>
        <w:rPr>
          <w:rFonts w:hint="eastAsia"/>
        </w:rPr>
        <w:t>（</w:t>
      </w:r>
      <w:r>
        <w:t>8）将采购合同转包或者违规分包；</w:t>
      </w:r>
    </w:p>
    <w:p>
      <w:pPr>
        <w:ind w:firstLine="480"/>
      </w:pPr>
      <w:r>
        <w:rPr>
          <w:rFonts w:hint="eastAsia"/>
        </w:rPr>
        <w:t>（</w:t>
      </w:r>
      <w:r>
        <w:t>9）提供假冒伪劣产品；</w:t>
      </w:r>
    </w:p>
    <w:p>
      <w:pPr>
        <w:ind w:firstLine="480"/>
      </w:pPr>
      <w:r>
        <w:rPr>
          <w:rFonts w:hint="eastAsia"/>
        </w:rPr>
        <w:t>（</w:t>
      </w:r>
      <w:r>
        <w:t>10）擅自变更、中止或者终止采购合同；</w:t>
      </w:r>
    </w:p>
    <w:p>
      <w:pPr>
        <w:ind w:firstLine="480"/>
      </w:pPr>
      <w:r>
        <w:rPr>
          <w:rFonts w:hint="eastAsia"/>
        </w:rPr>
        <w:t>（</w:t>
      </w:r>
      <w:r>
        <w:t>11）拒绝有关部门的监督检查或者向监督检查部门提供虚假情况；</w:t>
      </w:r>
    </w:p>
    <w:p>
      <w:pPr>
        <w:ind w:firstLine="480"/>
      </w:pPr>
      <w:r>
        <w:rPr>
          <w:rFonts w:hint="eastAsia"/>
        </w:rPr>
        <w:t>（</w:t>
      </w:r>
      <w:r>
        <w:t>12）法律法规规定的其他情形。</w:t>
      </w:r>
    </w:p>
    <w:p>
      <w:pPr>
        <w:ind w:firstLine="480"/>
      </w:pPr>
      <w:r>
        <w:rPr>
          <w:rFonts w:hint="eastAsia"/>
        </w:rPr>
        <w:t>供应商有上述情形的，按照规定追究法律责任，具备（</w:t>
      </w:r>
      <w:r>
        <w:t>1）-（10）条情形之一的，同时将取消被确认为成交供应商的资格或者认定成交无效。</w:t>
      </w:r>
    </w:p>
    <w:p>
      <w:pPr>
        <w:pStyle w:val="5"/>
      </w:pPr>
      <w:bookmarkStart w:id="101" w:name="_Toc87641180"/>
      <w:bookmarkStart w:id="102" w:name="_Toc91071104"/>
      <w:bookmarkStart w:id="103" w:name="_Toc88748234"/>
      <w:r>
        <w:rPr>
          <w:rFonts w:hint="eastAsia"/>
        </w:rPr>
        <w:t>其他</w:t>
      </w:r>
      <w:bookmarkEnd w:id="101"/>
      <w:bookmarkEnd w:id="102"/>
      <w:bookmarkEnd w:id="103"/>
    </w:p>
    <w:p>
      <w:pPr>
        <w:ind w:firstLine="480"/>
      </w:pPr>
      <w:r>
        <w:rPr>
          <w:rFonts w:hint="eastAsia"/>
        </w:rPr>
        <w:t>本磋商文件中所执行的相关法律制度规定，在采购过程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pPr>
        <w:widowControl/>
        <w:spacing w:line="240" w:lineRule="auto"/>
        <w:ind w:firstLine="0" w:firstLineChars="0"/>
        <w:jc w:val="left"/>
      </w:pPr>
      <w:r>
        <w:br w:type="page"/>
      </w:r>
    </w:p>
    <w:p>
      <w:pPr>
        <w:pStyle w:val="3"/>
      </w:pPr>
      <w:bookmarkStart w:id="104" w:name="_Toc25538"/>
      <w:r>
        <w:rPr>
          <w:rFonts w:hint="eastAsia"/>
        </w:rPr>
        <w:t>供应商资格条件及证明材料要求</w:t>
      </w:r>
      <w:bookmarkEnd w:id="104"/>
    </w:p>
    <w:p>
      <w:pPr>
        <w:pStyle w:val="4"/>
        <w:numPr>
          <w:ilvl w:val="0"/>
          <w:numId w:val="8"/>
        </w:numPr>
        <w:rPr>
          <w:rFonts w:ascii="仿宋" w:hAnsi="仿宋" w:eastAsia="仿宋"/>
        </w:rPr>
      </w:pPr>
      <w:bookmarkStart w:id="105" w:name="_Toc29663"/>
      <w:bookmarkStart w:id="106" w:name="_Toc10455"/>
      <w:bookmarkStart w:id="107" w:name="_Toc13554"/>
      <w:bookmarkStart w:id="108" w:name="_Toc6342"/>
      <w:bookmarkStart w:id="109" w:name="_Toc1157"/>
      <w:bookmarkStart w:id="110" w:name="_Toc16127"/>
      <w:r>
        <w:rPr>
          <w:rFonts w:hint="eastAsia" w:ascii="仿宋" w:hAnsi="仿宋" w:eastAsia="仿宋"/>
        </w:rPr>
        <w:t>本项目的基本</w:t>
      </w:r>
      <w:r>
        <w:rPr>
          <w:rFonts w:ascii="仿宋" w:hAnsi="仿宋" w:eastAsia="仿宋"/>
        </w:rPr>
        <w:t>资格</w:t>
      </w:r>
      <w:r>
        <w:rPr>
          <w:rFonts w:hint="eastAsia" w:ascii="仿宋" w:hAnsi="仿宋" w:eastAsia="仿宋"/>
        </w:rPr>
        <w:t>条件</w:t>
      </w:r>
      <w:bookmarkEnd w:id="105"/>
    </w:p>
    <w:p>
      <w:pPr>
        <w:pStyle w:val="5"/>
      </w:pPr>
      <w:bookmarkStart w:id="111" w:name="_Toc91071107"/>
      <w:bookmarkStart w:id="112" w:name="_Toc87641183"/>
      <w:bookmarkStart w:id="113" w:name="_Toc88748237"/>
      <w:r>
        <w:rPr>
          <w:rFonts w:hint="eastAsia"/>
        </w:rPr>
        <w:t>具有独立承担</w:t>
      </w:r>
      <w:r>
        <w:rPr>
          <w:rFonts w:hint="eastAsia"/>
        </w:rPr>
        <w:fldChar w:fldCharType="begin"/>
      </w:r>
      <w:r>
        <w:instrText xml:space="preserve"> HYPERLINK "http://www.lawtime.cn/info/minfa/mszeren/" \t "_blank" </w:instrText>
      </w:r>
      <w:r>
        <w:rPr>
          <w:rFonts w:hint="eastAsia"/>
        </w:rPr>
        <w:fldChar w:fldCharType="separate"/>
      </w:r>
      <w:r>
        <w:rPr>
          <w:rFonts w:hint="eastAsia"/>
        </w:rPr>
        <w:t>民事责任</w:t>
      </w:r>
      <w:r>
        <w:rPr>
          <w:rFonts w:hint="eastAsia"/>
        </w:rPr>
        <w:fldChar w:fldCharType="end"/>
      </w:r>
      <w:r>
        <w:rPr>
          <w:rFonts w:hint="eastAsia"/>
        </w:rPr>
        <w:t>的能力；</w:t>
      </w:r>
      <w:bookmarkEnd w:id="111"/>
      <w:bookmarkEnd w:id="112"/>
      <w:bookmarkEnd w:id="113"/>
    </w:p>
    <w:p>
      <w:pPr>
        <w:ind w:right="-57" w:firstLine="480"/>
      </w:pPr>
      <w:r>
        <w:rPr>
          <w:rFonts w:hint="eastAsia"/>
        </w:rPr>
        <w:t>证明材料：</w:t>
      </w:r>
      <w:r>
        <w:rPr>
          <w:rFonts w:hint="eastAsia"/>
          <w:lang w:bidi="ar"/>
        </w:rPr>
        <w:t>根据实际情况</w:t>
      </w:r>
      <w:r>
        <w:rPr>
          <w:rFonts w:hint="eastAsia"/>
        </w:rPr>
        <w:t>提供下述</w:t>
      </w:r>
      <w:r>
        <w:rPr>
          <w:rFonts w:hint="eastAsia"/>
          <w:lang w:bidi="ar"/>
        </w:rPr>
        <w:t>①、</w:t>
      </w:r>
      <w:r>
        <w:rPr>
          <w:rFonts w:hint="eastAsia" w:cs="宋体"/>
          <w:lang w:bidi="ar"/>
        </w:rPr>
        <w:t>②、③中任意一项</w:t>
      </w:r>
      <w:r>
        <w:rPr>
          <w:rFonts w:hint="eastAsia"/>
        </w:rPr>
        <w:t>均视为满足</w:t>
      </w:r>
      <w:r>
        <w:rPr>
          <w:rFonts w:hint="eastAsia"/>
          <w:lang w:bidi="ar"/>
        </w:rPr>
        <w:t>。</w:t>
      </w:r>
      <w:r>
        <w:rPr>
          <w:rFonts w:hint="eastAsia"/>
        </w:rPr>
        <w:t>①提供营业执照、组织机构代码证、税务登记证复印件，实行“三证合一、一照一码”的地区新注册的公司或换过证的机构，只需提供具有统一社会信用代码的营业执照正本或副本；</w:t>
      </w:r>
      <w:r>
        <w:rPr>
          <w:rFonts w:hint="eastAsia" w:cs="宋体"/>
          <w:lang w:bidi="ar"/>
        </w:rPr>
        <w:t>②</w:t>
      </w:r>
      <w:r>
        <w:rPr>
          <w:rFonts w:hint="eastAsia"/>
        </w:rPr>
        <w:t>不具备营业执照的组织机构，提供行政主管部门颁发的有效证书（证明文件），如法人登记证书、执业许可证等；</w:t>
      </w:r>
      <w:r>
        <w:rPr>
          <w:rFonts w:hint="eastAsia" w:cs="宋体"/>
          <w:lang w:bidi="ar"/>
        </w:rPr>
        <w:t>③</w:t>
      </w:r>
      <w:r>
        <w:rPr>
          <w:rFonts w:hint="eastAsia"/>
        </w:rPr>
        <w:t>供应商为自然人的只需提供自然人身份证复印件。</w:t>
      </w:r>
    </w:p>
    <w:p>
      <w:pPr>
        <w:pStyle w:val="5"/>
      </w:pPr>
      <w:bookmarkStart w:id="114" w:name="_Toc88748238"/>
      <w:bookmarkStart w:id="115" w:name="_Toc87641184"/>
      <w:bookmarkStart w:id="116" w:name="_Toc91071108"/>
      <w:r>
        <w:rPr>
          <w:rFonts w:hint="eastAsia"/>
        </w:rPr>
        <w:t>具有良好的商业信誉和健全的财务会计制度；</w:t>
      </w:r>
      <w:bookmarkEnd w:id="114"/>
      <w:bookmarkEnd w:id="115"/>
      <w:bookmarkEnd w:id="116"/>
    </w:p>
    <w:p>
      <w:pPr>
        <w:ind w:right="-57" w:firstLine="480"/>
      </w:pPr>
      <w:r>
        <w:rPr>
          <w:rFonts w:hint="eastAsia"/>
        </w:rPr>
        <w:t>（</w:t>
      </w:r>
      <w:r>
        <w:t>1）良好的商业信誉证明材料：提供承诺。（注：承诺可直接按照本文件第五章中的“资格承诺函”进行应答。）</w:t>
      </w:r>
    </w:p>
    <w:p>
      <w:pPr>
        <w:ind w:right="-57" w:firstLine="480"/>
      </w:pPr>
      <w:r>
        <w:rPr>
          <w:rFonts w:hint="eastAsia"/>
        </w:rPr>
        <w:t>良好的商业信誉释义：在参加采购活动前，未被纳入法院、工商行政管理部门、税务部门、银行认定的失信名单且在有效期内。</w:t>
      </w:r>
    </w:p>
    <w:p>
      <w:pPr>
        <w:ind w:right="-57" w:firstLine="480"/>
      </w:pPr>
      <w:r>
        <w:rPr>
          <w:rFonts w:hint="eastAsia"/>
        </w:rPr>
        <w:t>（</w:t>
      </w:r>
      <w:r>
        <w:t>2）健全的财务会计制度证明材料：根据实际情况提供下述①、②、③、④</w:t>
      </w:r>
      <w:r>
        <w:rPr>
          <w:rFonts w:hint="eastAsia"/>
        </w:rPr>
        <w:t>、</w:t>
      </w:r>
      <w:r>
        <w:t>⑤中任意一项均视为满足。①提供</w:t>
      </w:r>
      <w:r>
        <w:rPr>
          <w:rFonts w:hint="eastAsia"/>
        </w:rPr>
        <w:t>2</w:t>
      </w:r>
      <w:r>
        <w:t>020</w:t>
      </w:r>
      <w:r>
        <w:rPr>
          <w:rFonts w:hint="eastAsia"/>
        </w:rPr>
        <w:t>或2</w:t>
      </w:r>
      <w:r>
        <w:t>021</w:t>
      </w:r>
      <w:r>
        <w:rPr>
          <w:rFonts w:hint="eastAsia"/>
        </w:rPr>
        <w:t>年度</w:t>
      </w:r>
      <w:r>
        <w:t>的财务状况报告，可提供经审计的财务报告复印件（包含审计报告和审计报告中所涉及的财务报表和报表附注）或供应商内部的财务报表复印件（至少包含资产负债表）；②新成立不足一年的可提供在工商备案的公司章程的复印件；③非盈利性单位或其他机关事业单位以符合财务会计制度为准；④供应商为自然人的须出具银行机构开具的资信证明；⑤提供健全的财务会计制度的承诺函，承诺可直接按照本文</w:t>
      </w:r>
      <w:r>
        <w:rPr>
          <w:rFonts w:hint="eastAsia"/>
        </w:rPr>
        <w:t>件第五章中的“资格承诺函”进行应答。</w:t>
      </w:r>
    </w:p>
    <w:p>
      <w:pPr>
        <w:pStyle w:val="5"/>
      </w:pPr>
      <w:bookmarkStart w:id="117" w:name="_Toc91071109"/>
      <w:bookmarkStart w:id="118" w:name="_Toc87641185"/>
      <w:bookmarkStart w:id="119" w:name="_Toc88748239"/>
      <w:r>
        <w:rPr>
          <w:rFonts w:hint="eastAsia"/>
        </w:rPr>
        <w:t>具备履行合同所必需的设备和专业技术能力；</w:t>
      </w:r>
      <w:bookmarkEnd w:id="117"/>
      <w:bookmarkEnd w:id="118"/>
      <w:bookmarkEnd w:id="119"/>
    </w:p>
    <w:p>
      <w:pPr>
        <w:ind w:firstLine="480"/>
      </w:pPr>
      <w:r>
        <w:rPr>
          <w:rFonts w:hint="eastAsia"/>
        </w:rPr>
        <w:t>证明材料：可提供人员简介、设备照片或承诺。（注：承诺可直接按照本文件第五章中的“资格承诺函”进行应答。）</w:t>
      </w:r>
    </w:p>
    <w:p>
      <w:pPr>
        <w:pStyle w:val="5"/>
      </w:pPr>
      <w:bookmarkStart w:id="120" w:name="_Toc88748240"/>
      <w:bookmarkStart w:id="121" w:name="_Toc87641186"/>
      <w:bookmarkStart w:id="122" w:name="_Toc91071110"/>
      <w:r>
        <w:rPr>
          <w:rFonts w:hint="eastAsia"/>
        </w:rPr>
        <w:t>有依法缴纳税收和</w:t>
      </w:r>
      <w:r>
        <w:fldChar w:fldCharType="begin"/>
      </w:r>
      <w:r>
        <w:instrText xml:space="preserve"> HYPERLINK "http://www.lawtime.cn/info/laodong/shehuibaozhang/" \t "_blank" </w:instrText>
      </w:r>
      <w:r>
        <w:fldChar w:fldCharType="separate"/>
      </w:r>
      <w:r>
        <w:rPr>
          <w:rFonts w:hint="eastAsia"/>
        </w:rPr>
        <w:t>社会保障</w:t>
      </w:r>
      <w:r>
        <w:rPr>
          <w:rFonts w:hint="eastAsia"/>
        </w:rPr>
        <w:fldChar w:fldCharType="end"/>
      </w:r>
      <w:r>
        <w:rPr>
          <w:rFonts w:hint="eastAsia"/>
        </w:rPr>
        <w:t>资金的良好记录；</w:t>
      </w:r>
      <w:bookmarkEnd w:id="120"/>
      <w:bookmarkEnd w:id="121"/>
      <w:bookmarkEnd w:id="122"/>
    </w:p>
    <w:p>
      <w:pPr>
        <w:ind w:firstLine="480"/>
      </w:pPr>
      <w:r>
        <w:rPr>
          <w:rFonts w:hint="eastAsia"/>
        </w:rPr>
        <w:t>证明材料：提供下述①、②中任意一项均视为满足。①提供</w:t>
      </w:r>
      <w:r>
        <w:t>202</w:t>
      </w:r>
      <w:r>
        <w:rPr>
          <w:rFonts w:hint="eastAsia"/>
        </w:rPr>
        <w:t>2</w:t>
      </w:r>
      <w:r>
        <w:t>年01月至递交响应文件截止时间前任意一个月的依法缴纳税收及社会保障资金证明（注：可以提供主管部门出具的专用发票、银行转账凭证或主管部门出具的证明文件，所提供的证明材料内容必须清晰、可辨别，否则视为无效证明材料）；②提供有依法交纳税收和社会保障资金的良好记录承诺函。（注：承诺可直接按照本文件第五章中的“资格承诺函”进行应答。）</w:t>
      </w:r>
    </w:p>
    <w:p>
      <w:pPr>
        <w:pStyle w:val="5"/>
      </w:pPr>
      <w:bookmarkStart w:id="123" w:name="_Toc91071111"/>
      <w:bookmarkStart w:id="124" w:name="_Toc87641187"/>
      <w:bookmarkStart w:id="125" w:name="_Toc88748241"/>
      <w:r>
        <w:rPr>
          <w:rFonts w:hint="eastAsia"/>
        </w:rPr>
        <w:t>参加采购活动前三年内，在经营活动中没有重大违法记录；</w:t>
      </w:r>
      <w:bookmarkEnd w:id="123"/>
      <w:bookmarkEnd w:id="124"/>
      <w:bookmarkEnd w:id="125"/>
    </w:p>
    <w:p>
      <w:pPr>
        <w:ind w:firstLine="480"/>
      </w:pPr>
      <w:r>
        <w:rPr>
          <w:rFonts w:hint="eastAsia"/>
        </w:rPr>
        <w:t>证明材料：提供承诺函。（注：可直接按照本文件第五章中的“资格承诺函”进行应答。）</w:t>
      </w:r>
    </w:p>
    <w:p>
      <w:pPr>
        <w:ind w:firstLine="480"/>
      </w:pPr>
      <w:r>
        <w:rPr>
          <w:rFonts w:hint="eastAsia"/>
        </w:rPr>
        <w:t>重大违法释义：指因违法经营受到刑事处罚或者责令停产停业、吊销许可证或者执照、较大数额罚款等行政处罚。</w:t>
      </w:r>
    </w:p>
    <w:p>
      <w:pPr>
        <w:pStyle w:val="5"/>
      </w:pPr>
      <w:bookmarkStart w:id="126" w:name="_Toc87641188"/>
      <w:bookmarkStart w:id="127" w:name="_Toc88748242"/>
      <w:bookmarkStart w:id="128" w:name="_Toc91071112"/>
      <w:r>
        <w:rPr>
          <w:rFonts w:hint="eastAsia"/>
        </w:rPr>
        <w:t>法律、行政法规规定的其他条件；</w:t>
      </w:r>
      <w:bookmarkEnd w:id="126"/>
      <w:bookmarkEnd w:id="127"/>
      <w:bookmarkEnd w:id="128"/>
    </w:p>
    <w:p>
      <w:pPr>
        <w:ind w:firstLine="480"/>
      </w:pPr>
      <w:r>
        <w:rPr>
          <w:rFonts w:hint="eastAsia"/>
        </w:rPr>
        <w:t>证明材料：提供承诺函。（注：可直接按照本文件第五章中的“资格承诺函”进行应答。）</w:t>
      </w:r>
    </w:p>
    <w:p>
      <w:pPr>
        <w:pStyle w:val="4"/>
        <w:rPr>
          <w:rFonts w:ascii="仿宋" w:hAnsi="仿宋" w:eastAsia="仿宋"/>
        </w:rPr>
      </w:pPr>
      <w:bookmarkStart w:id="129" w:name="_Toc19407"/>
      <w:r>
        <w:rPr>
          <w:rFonts w:hint="eastAsia" w:ascii="仿宋" w:hAnsi="仿宋" w:eastAsia="仿宋"/>
        </w:rPr>
        <w:t>落实政府采购政策需满足的资格要求：无。</w:t>
      </w:r>
      <w:bookmarkEnd w:id="129"/>
    </w:p>
    <w:p>
      <w:pPr>
        <w:pStyle w:val="4"/>
        <w:rPr>
          <w:rFonts w:ascii="仿宋" w:hAnsi="仿宋" w:eastAsia="仿宋"/>
        </w:rPr>
      </w:pPr>
      <w:bookmarkStart w:id="130" w:name="_Toc15893"/>
      <w:r>
        <w:rPr>
          <w:rFonts w:hint="eastAsia" w:ascii="仿宋" w:hAnsi="仿宋" w:eastAsia="仿宋"/>
        </w:rPr>
        <w:t>本项目</w:t>
      </w:r>
      <w:r>
        <w:rPr>
          <w:rFonts w:ascii="仿宋" w:hAnsi="仿宋" w:eastAsia="仿宋"/>
        </w:rPr>
        <w:t>的</w:t>
      </w:r>
      <w:r>
        <w:rPr>
          <w:rFonts w:hint="eastAsia" w:ascii="仿宋" w:hAnsi="仿宋" w:eastAsia="仿宋"/>
        </w:rPr>
        <w:t>特定资格条件</w:t>
      </w:r>
      <w:bookmarkEnd w:id="130"/>
    </w:p>
    <w:bookmarkEnd w:id="106"/>
    <w:bookmarkEnd w:id="107"/>
    <w:bookmarkEnd w:id="108"/>
    <w:bookmarkEnd w:id="109"/>
    <w:bookmarkEnd w:id="110"/>
    <w:p>
      <w:pPr>
        <w:ind w:firstLine="480"/>
      </w:pPr>
      <w:r>
        <w:t>1.按规定参与了本项目的报名。</w:t>
      </w:r>
    </w:p>
    <w:p>
      <w:pPr>
        <w:ind w:firstLine="480"/>
      </w:pPr>
      <w:r>
        <w:rPr>
          <w:rFonts w:hint="eastAsia"/>
        </w:rPr>
        <w:t>证明材料：参与了本项目报名，审查时由采购人提供项目的报名情况记录。</w:t>
      </w:r>
    </w:p>
    <w:p>
      <w:pPr>
        <w:ind w:right="240" w:firstLine="480"/>
      </w:pPr>
      <w:r>
        <w:rPr>
          <w:rFonts w:hint="eastAsia"/>
        </w:rPr>
        <w:t xml:space="preserve"> </w:t>
      </w:r>
    </w:p>
    <w:p>
      <w:pPr>
        <w:ind w:right="240" w:firstLine="0" w:firstLineChars="0"/>
      </w:pPr>
    </w:p>
    <w:p>
      <w:pPr>
        <w:pStyle w:val="59"/>
        <w:spacing w:line="276" w:lineRule="auto"/>
        <w:ind w:firstLine="482"/>
        <w:rPr>
          <w:rFonts w:ascii="仿宋" w:hAnsi="仿宋" w:eastAsia="仿宋"/>
          <w:color w:val="000000"/>
        </w:rPr>
      </w:pPr>
      <w:r>
        <w:rPr>
          <w:rFonts w:hint="eastAsia" w:ascii="仿宋" w:hAnsi="仿宋" w:eastAsia="仿宋"/>
          <w:b/>
        </w:rPr>
        <w:t>注:</w:t>
      </w:r>
      <w:r>
        <w:rPr>
          <w:rFonts w:hint="eastAsia" w:ascii="仿宋" w:hAnsi="仿宋" w:eastAsia="仿宋"/>
          <w:b/>
          <w:bCs/>
          <w:color w:val="000000"/>
        </w:rPr>
        <w:t xml:space="preserve"> 1.</w:t>
      </w:r>
      <w:r>
        <w:rPr>
          <w:rFonts w:hint="eastAsia" w:ascii="仿宋" w:hAnsi="仿宋" w:eastAsia="仿宋"/>
          <w:b/>
          <w:color w:val="000000"/>
        </w:rPr>
        <w:t>按照《财政部关于〈中华人民共和国政府采购法实施条例〉第十九条第一款“较大数额</w:t>
      </w:r>
      <w:r>
        <w:rPr>
          <w:rFonts w:ascii="仿宋" w:hAnsi="仿宋" w:eastAsia="仿宋"/>
          <w:b/>
          <w:color w:val="000000"/>
        </w:rPr>
        <w:t xml:space="preserve"> 罚款”具体适用问题的意见》（财库〔2022〕3号）的规定，本项目确定供应商重大违法记录中“较大数额罚款”认定为200万元以上的罚款，法律、行政法规以及国务院有关部门明确规定相关领域“较大数额罚款”标准高于200万元的，从其规定。</w:t>
      </w:r>
    </w:p>
    <w:p>
      <w:pPr>
        <w:pStyle w:val="59"/>
        <w:spacing w:line="276" w:lineRule="auto"/>
        <w:ind w:firstLine="482"/>
        <w:rPr>
          <w:rFonts w:ascii="仿宋" w:hAnsi="仿宋" w:eastAsia="仿宋"/>
          <w:b/>
        </w:rPr>
      </w:pPr>
      <w:r>
        <w:rPr>
          <w:rFonts w:ascii="仿宋" w:hAnsi="仿宋" w:eastAsia="仿宋"/>
          <w:b/>
        </w:rPr>
        <w:t>2.上述所有材料必须加盖供应商公章并在要求</w:t>
      </w:r>
      <w:r>
        <w:rPr>
          <w:rFonts w:hint="eastAsia" w:ascii="仿宋" w:hAnsi="仿宋" w:eastAsia="仿宋"/>
          <w:b/>
        </w:rPr>
        <w:t>签署</w:t>
      </w:r>
      <w:r>
        <w:rPr>
          <w:rFonts w:ascii="仿宋" w:hAnsi="仿宋" w:eastAsia="仿宋"/>
          <w:b/>
        </w:rPr>
        <w:t>处</w:t>
      </w:r>
      <w:r>
        <w:rPr>
          <w:rFonts w:hint="eastAsia" w:ascii="仿宋" w:hAnsi="仿宋" w:eastAsia="仿宋"/>
          <w:b/>
        </w:rPr>
        <w:t>签署</w:t>
      </w:r>
      <w:r>
        <w:rPr>
          <w:rFonts w:ascii="仿宋" w:hAnsi="仿宋" w:eastAsia="仿宋"/>
          <w:b/>
        </w:rPr>
        <w:t>。</w:t>
      </w:r>
      <w:r>
        <w:rPr>
          <w:rFonts w:hint="eastAsia" w:ascii="仿宋" w:hAnsi="仿宋" w:eastAsia="仿宋"/>
          <w:b/>
        </w:rPr>
        <w:t>如为联合体参与采购活动，联合体各成员单位均需按照本章“一、本项目的</w:t>
      </w:r>
      <w:r>
        <w:rPr>
          <w:rFonts w:ascii="仿宋" w:hAnsi="仿宋" w:eastAsia="仿宋"/>
          <w:b/>
        </w:rPr>
        <w:t>基本资格条件</w:t>
      </w:r>
      <w:r>
        <w:rPr>
          <w:rFonts w:hint="eastAsia" w:ascii="仿宋" w:hAnsi="仿宋" w:eastAsia="仿宋"/>
          <w:b/>
        </w:rPr>
        <w:t>”要求提供其项下</w:t>
      </w:r>
      <w:r>
        <w:rPr>
          <w:rFonts w:ascii="仿宋" w:hAnsi="仿宋" w:eastAsia="仿宋"/>
          <w:b/>
        </w:rPr>
        <w:t>1至6项的证明材料，除“联合体协议”须由各成员单位共同签字盖章外，其他材料均可由牵头单位签字盖章即可。</w:t>
      </w:r>
      <w:r>
        <w:rPr>
          <w:rFonts w:ascii="仿宋" w:hAnsi="仿宋" w:eastAsia="仿宋"/>
          <w:b/>
        </w:rPr>
        <w:br w:type="page"/>
      </w:r>
    </w:p>
    <w:p>
      <w:pPr>
        <w:pStyle w:val="3"/>
      </w:pPr>
      <w:bookmarkStart w:id="131" w:name="_Toc43"/>
      <w:r>
        <w:rPr>
          <w:rFonts w:hint="eastAsia"/>
        </w:rPr>
        <w:t>采购项目技术、服务及商务要求</w:t>
      </w:r>
      <w:bookmarkEnd w:id="131"/>
    </w:p>
    <w:p>
      <w:pPr>
        <w:pStyle w:val="4"/>
        <w:numPr>
          <w:ilvl w:val="0"/>
          <w:numId w:val="9"/>
        </w:numPr>
        <w:rPr>
          <w:rFonts w:ascii="仿宋" w:hAnsi="仿宋" w:eastAsia="仿宋"/>
          <w:b/>
          <w:bCs w:val="0"/>
        </w:rPr>
      </w:pPr>
      <w:bookmarkStart w:id="132" w:name="_Toc6562"/>
      <w:r>
        <w:rPr>
          <w:rFonts w:hint="eastAsia" w:ascii="仿宋" w:hAnsi="仿宋" w:eastAsia="仿宋"/>
          <w:b/>
          <w:bCs w:val="0"/>
        </w:rPr>
        <w:t>项目概述</w:t>
      </w:r>
      <w:bookmarkEnd w:id="132"/>
    </w:p>
    <w:p>
      <w:pPr>
        <w:ind w:firstLine="199" w:firstLineChars="83"/>
      </w:pPr>
      <w:r>
        <w:rPr>
          <w:rFonts w:hint="eastAsia"/>
        </w:rPr>
        <w:t>1、</w:t>
      </w:r>
      <w:r>
        <w:t>项目实施依据</w:t>
      </w:r>
    </w:p>
    <w:p>
      <w:pPr>
        <w:ind w:firstLine="424" w:firstLineChars="177"/>
      </w:pPr>
      <w:r>
        <w:rPr>
          <w:rFonts w:hint="eastAsia"/>
        </w:rPr>
        <w:t>（1）</w:t>
      </w:r>
      <w:r>
        <w:t>《财政部关于印发&lt;行政事业单位内部控制规范(试行)&gt;的通知》（财会〔2012〕21 号）</w:t>
      </w:r>
      <w:r>
        <w:rPr>
          <w:rFonts w:hint="eastAsia"/>
        </w:rPr>
        <w:t>。</w:t>
      </w:r>
    </w:p>
    <w:p>
      <w:pPr>
        <w:ind w:firstLine="424" w:firstLineChars="177"/>
      </w:pPr>
      <w:r>
        <w:rPr>
          <w:rFonts w:hint="eastAsia"/>
        </w:rPr>
        <w:t>（</w:t>
      </w:r>
      <w:r>
        <w:t>2</w:t>
      </w:r>
      <w:r>
        <w:rPr>
          <w:rFonts w:hint="eastAsia"/>
        </w:rPr>
        <w:t>）</w:t>
      </w:r>
      <w:r>
        <w:t>《四川省财政厅关于进一步推进我省行政事业单位加强内部控制建设的意见》（川财会〔2019〕46号）</w:t>
      </w:r>
      <w:r>
        <w:rPr>
          <w:rFonts w:hint="eastAsia"/>
        </w:rPr>
        <w:t>。</w:t>
      </w:r>
    </w:p>
    <w:p>
      <w:pPr>
        <w:ind w:firstLine="424" w:firstLineChars="177"/>
      </w:pPr>
      <w:r>
        <w:rPr>
          <w:rFonts w:hint="eastAsia"/>
        </w:rPr>
        <w:t>（3）</w:t>
      </w:r>
      <w:r>
        <w:t>国家、省针对行政事业单位经济活动业务领域的相关法律、法规、规章、规范性文件等。</w:t>
      </w:r>
    </w:p>
    <w:p>
      <w:pPr>
        <w:ind w:firstLine="424" w:firstLineChars="177"/>
      </w:pPr>
      <w:r>
        <w:rPr>
          <w:rFonts w:hint="eastAsia"/>
        </w:rPr>
        <w:t>（4）</w:t>
      </w:r>
      <w:r>
        <w:t>四川省有关部门其它关于行政事业单位内控控制建设的有关要求。</w:t>
      </w:r>
    </w:p>
    <w:p>
      <w:pPr>
        <w:ind w:firstLine="199" w:firstLineChars="83"/>
      </w:pPr>
      <w:r>
        <w:rPr>
          <w:rFonts w:hint="eastAsia"/>
        </w:rPr>
        <w:t>2、</w:t>
      </w:r>
      <w:r>
        <w:t>项目实施标准</w:t>
      </w:r>
    </w:p>
    <w:p>
      <w:pPr>
        <w:ind w:firstLine="424" w:firstLineChars="177"/>
      </w:pPr>
      <w:r>
        <w:rPr>
          <w:rFonts w:hint="eastAsia"/>
        </w:rPr>
        <w:t>（</w:t>
      </w:r>
      <w:r>
        <w:t>1</w:t>
      </w:r>
      <w:r>
        <w:rPr>
          <w:rFonts w:hint="eastAsia"/>
        </w:rPr>
        <w:t>）</w:t>
      </w:r>
      <w:r>
        <w:t>完整性：内部控制体系贯穿单位的各个层级，确保对单位层面和业务层面各类经济业务活动的决策、执行和监督全过程的全面覆盖。</w:t>
      </w:r>
    </w:p>
    <w:p>
      <w:pPr>
        <w:ind w:firstLine="424" w:firstLineChars="177"/>
      </w:pPr>
      <w:r>
        <w:rPr>
          <w:rFonts w:hint="eastAsia"/>
        </w:rPr>
        <w:t>（2）</w:t>
      </w:r>
      <w:r>
        <w:t>一致性：内部控制体系要贯彻外部一致性和内部一致性，要符合相关法律、法规、规章、规范性文件等上位法的最新要求，同时内部制度流程等各要素之间的引用与联系要完整、正确、一致。</w:t>
      </w:r>
    </w:p>
    <w:p>
      <w:pPr>
        <w:ind w:firstLine="424" w:firstLineChars="177"/>
      </w:pPr>
      <w:r>
        <w:rPr>
          <w:rFonts w:hint="eastAsia"/>
        </w:rPr>
        <w:t>（3）</w:t>
      </w:r>
      <w:r>
        <w:t>适宜性：内部控制体系要体现单位的最佳管理实践，在合规的基础上，要保证行得通、做得到、管得住、用得好、可持续。</w:t>
      </w:r>
    </w:p>
    <w:p>
      <w:pPr>
        <w:pStyle w:val="4"/>
        <w:numPr>
          <w:ilvl w:val="0"/>
          <w:numId w:val="9"/>
        </w:numPr>
        <w:jc w:val="both"/>
        <w:rPr>
          <w:rFonts w:ascii="仿宋" w:hAnsi="仿宋" w:eastAsia="仿宋"/>
          <w:b/>
          <w:bCs w:val="0"/>
        </w:rPr>
      </w:pPr>
      <w:bookmarkStart w:id="133" w:name="_Toc28356"/>
      <w:bookmarkStart w:id="134" w:name="_Toc106867633"/>
      <w:r>
        <w:rPr>
          <w:rFonts w:hint="eastAsia" w:ascii="仿宋" w:hAnsi="仿宋" w:eastAsia="仿宋"/>
          <w:b/>
          <w:bCs w:val="0"/>
        </w:rPr>
        <w:t>项目清单及技术参数要求</w:t>
      </w:r>
      <w:bookmarkEnd w:id="133"/>
    </w:p>
    <w:p>
      <w:pPr>
        <w:pStyle w:val="5"/>
        <w:numPr>
          <w:ilvl w:val="0"/>
          <w:numId w:val="10"/>
        </w:numPr>
        <w:tabs>
          <w:tab w:val="left" w:pos="347"/>
        </w:tabs>
        <w:rPr>
          <w:lang w:val="zh-CN"/>
        </w:rPr>
      </w:pPr>
      <w:r>
        <w:rPr>
          <w:rFonts w:hint="eastAsia"/>
        </w:rPr>
        <w:t>采购清单</w:t>
      </w:r>
    </w:p>
    <w:tbl>
      <w:tblPr>
        <w:tblStyle w:val="32"/>
        <w:tblW w:w="0" w:type="auto"/>
        <w:tblInd w:w="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4138"/>
        <w:gridCol w:w="141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26" w:type="dxa"/>
            <w:vAlign w:val="center"/>
          </w:tcPr>
          <w:p>
            <w:pPr>
              <w:ind w:firstLine="0" w:firstLineChars="0"/>
              <w:jc w:val="center"/>
              <w:rPr>
                <w:b/>
                <w:bCs/>
              </w:rPr>
            </w:pPr>
            <w:r>
              <w:rPr>
                <w:rFonts w:hint="eastAsia"/>
                <w:b/>
                <w:bCs/>
              </w:rPr>
              <w:t>序号</w:t>
            </w:r>
          </w:p>
        </w:tc>
        <w:tc>
          <w:tcPr>
            <w:tcW w:w="4138" w:type="dxa"/>
            <w:vAlign w:val="center"/>
          </w:tcPr>
          <w:p>
            <w:pPr>
              <w:ind w:firstLine="0" w:firstLineChars="0"/>
              <w:jc w:val="center"/>
              <w:rPr>
                <w:b/>
                <w:bCs/>
              </w:rPr>
            </w:pPr>
            <w:r>
              <w:rPr>
                <w:rFonts w:hint="eastAsia"/>
                <w:b/>
                <w:bCs/>
              </w:rPr>
              <w:t>名称</w:t>
            </w:r>
          </w:p>
        </w:tc>
        <w:tc>
          <w:tcPr>
            <w:tcW w:w="1410" w:type="dxa"/>
            <w:vAlign w:val="center"/>
          </w:tcPr>
          <w:p>
            <w:pPr>
              <w:ind w:firstLine="0" w:firstLineChars="0"/>
              <w:jc w:val="center"/>
              <w:rPr>
                <w:b/>
                <w:bCs/>
              </w:rPr>
            </w:pPr>
            <w:r>
              <w:rPr>
                <w:rFonts w:hint="eastAsia"/>
                <w:b/>
                <w:bCs/>
              </w:rPr>
              <w:t>单位</w:t>
            </w:r>
          </w:p>
        </w:tc>
        <w:tc>
          <w:tcPr>
            <w:tcW w:w="1245" w:type="dxa"/>
            <w:vAlign w:val="center"/>
          </w:tcPr>
          <w:p>
            <w:pPr>
              <w:ind w:firstLine="0" w:firstLineChars="0"/>
              <w:jc w:val="center"/>
              <w:rPr>
                <w:b/>
                <w:bCs/>
              </w:rPr>
            </w:pPr>
            <w:r>
              <w:rPr>
                <w:rFonts w:hint="eastAsia"/>
                <w:b/>
                <w:bC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26" w:type="dxa"/>
            <w:vAlign w:val="center"/>
          </w:tcPr>
          <w:p>
            <w:pPr>
              <w:ind w:firstLine="0" w:firstLineChars="0"/>
              <w:jc w:val="center"/>
              <w:rPr>
                <w:szCs w:val="24"/>
              </w:rPr>
            </w:pPr>
            <w:r>
              <w:rPr>
                <w:rFonts w:hint="eastAsia"/>
                <w:szCs w:val="24"/>
              </w:rPr>
              <w:t>1</w:t>
            </w:r>
          </w:p>
        </w:tc>
        <w:tc>
          <w:tcPr>
            <w:tcW w:w="4138" w:type="dxa"/>
            <w:vAlign w:val="center"/>
          </w:tcPr>
          <w:p>
            <w:pPr>
              <w:ind w:firstLine="0" w:firstLineChars="0"/>
              <w:jc w:val="left"/>
              <w:rPr>
                <w:rFonts w:eastAsia="仿宋_GB2312"/>
                <w:szCs w:val="24"/>
              </w:rPr>
            </w:pPr>
            <w:r>
              <w:rPr>
                <w:rFonts w:hint="eastAsia" w:ascii="仿宋_GB2312" w:hAnsi="仿宋_GB2312" w:eastAsia="仿宋_GB2312"/>
              </w:rPr>
              <w:t>内控信息化管理平台软件</w:t>
            </w:r>
          </w:p>
        </w:tc>
        <w:tc>
          <w:tcPr>
            <w:tcW w:w="1410" w:type="dxa"/>
            <w:vAlign w:val="center"/>
          </w:tcPr>
          <w:p>
            <w:pPr>
              <w:ind w:firstLine="480"/>
              <w:rPr>
                <w:szCs w:val="24"/>
                <w:lang w:val="zh-CN"/>
              </w:rPr>
            </w:pPr>
            <w:r>
              <w:rPr>
                <w:rFonts w:hint="eastAsia"/>
                <w:szCs w:val="24"/>
              </w:rPr>
              <w:t>套</w:t>
            </w:r>
          </w:p>
        </w:tc>
        <w:tc>
          <w:tcPr>
            <w:tcW w:w="1245" w:type="dxa"/>
            <w:vAlign w:val="center"/>
          </w:tcPr>
          <w:p>
            <w:pPr>
              <w:ind w:firstLine="480"/>
              <w:rPr>
                <w:szCs w:val="24"/>
              </w:rPr>
            </w:pPr>
            <w:r>
              <w:rPr>
                <w:rFonts w:hint="eastAsia"/>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026" w:type="dxa"/>
            <w:vAlign w:val="center"/>
          </w:tcPr>
          <w:p>
            <w:pPr>
              <w:ind w:firstLine="0" w:firstLineChars="0"/>
              <w:jc w:val="center"/>
              <w:rPr>
                <w:szCs w:val="24"/>
              </w:rPr>
            </w:pPr>
            <w:r>
              <w:rPr>
                <w:rFonts w:hint="eastAsia"/>
                <w:szCs w:val="24"/>
              </w:rPr>
              <w:t>2</w:t>
            </w:r>
          </w:p>
        </w:tc>
        <w:tc>
          <w:tcPr>
            <w:tcW w:w="4138" w:type="dxa"/>
            <w:vAlign w:val="center"/>
          </w:tcPr>
          <w:p>
            <w:pPr>
              <w:ind w:firstLine="0" w:firstLineChars="0"/>
              <w:jc w:val="left"/>
              <w:rPr>
                <w:rFonts w:ascii="仿宋_GB2312" w:hAnsi="仿宋_GB2312" w:eastAsia="仿宋_GB2312"/>
              </w:rPr>
            </w:pPr>
            <w:r>
              <w:rPr>
                <w:rFonts w:hint="eastAsia" w:ascii="仿宋_GB2312" w:hAnsi="仿宋_GB2312" w:eastAsia="仿宋_GB2312"/>
              </w:rPr>
              <w:t>云资源租赁服务</w:t>
            </w:r>
          </w:p>
        </w:tc>
        <w:tc>
          <w:tcPr>
            <w:tcW w:w="1410" w:type="dxa"/>
            <w:vAlign w:val="center"/>
          </w:tcPr>
          <w:p>
            <w:pPr>
              <w:ind w:firstLine="480"/>
              <w:rPr>
                <w:szCs w:val="24"/>
              </w:rPr>
            </w:pPr>
            <w:r>
              <w:rPr>
                <w:rFonts w:hint="eastAsia"/>
                <w:szCs w:val="24"/>
              </w:rPr>
              <w:t>年</w:t>
            </w:r>
          </w:p>
        </w:tc>
        <w:tc>
          <w:tcPr>
            <w:tcW w:w="1245" w:type="dxa"/>
            <w:vAlign w:val="center"/>
          </w:tcPr>
          <w:p>
            <w:pPr>
              <w:ind w:firstLine="480"/>
              <w:rPr>
                <w:szCs w:val="24"/>
              </w:rPr>
            </w:pPr>
            <w:r>
              <w:rPr>
                <w:rFonts w:hint="eastAsia"/>
                <w:szCs w:val="24"/>
              </w:rPr>
              <w:t>3</w:t>
            </w:r>
          </w:p>
        </w:tc>
      </w:tr>
    </w:tbl>
    <w:p>
      <w:pPr>
        <w:spacing w:line="440" w:lineRule="exact"/>
        <w:ind w:firstLine="480"/>
        <w:rPr>
          <w:rFonts w:ascii="仿宋_GB2312" w:hAnsi="仿宋_GB2312" w:eastAsia="仿宋_GB2312"/>
          <w:lang w:val="zh-CN"/>
        </w:rPr>
      </w:pPr>
    </w:p>
    <w:p>
      <w:pPr>
        <w:pStyle w:val="5"/>
        <w:numPr>
          <w:ilvl w:val="0"/>
          <w:numId w:val="10"/>
        </w:numPr>
        <w:tabs>
          <w:tab w:val="left" w:pos="347"/>
        </w:tabs>
      </w:pPr>
      <w:r>
        <w:rPr>
          <w:rFonts w:hint="eastAsia"/>
        </w:rPr>
        <w:t>技术参数及要求</w:t>
      </w:r>
    </w:p>
    <w:p>
      <w:pPr>
        <w:pStyle w:val="5"/>
      </w:pPr>
      <w:r>
        <w:rPr>
          <w:rFonts w:hint="eastAsia"/>
        </w:rPr>
        <w:t>总体要求</w:t>
      </w:r>
    </w:p>
    <w:p>
      <w:pPr>
        <w:pStyle w:val="2"/>
        <w:ind w:firstLine="0" w:firstLineChars="0"/>
      </w:pPr>
      <w:r>
        <w:rPr>
          <w:rFonts w:hint="eastAsia"/>
        </w:rPr>
        <w:t xml:space="preserve">  ★（1）系统采用跨平台的技术架构，能在不同操作系统平台上部署，支持异构环境集成，支持中标麒麟、银河麒麟、统信UOS、Linux 、Unix和Microsoft Windows等操作系统，维护期内可免费提供</w:t>
      </w:r>
      <w:r>
        <w:rPr>
          <w:rFonts w:hint="eastAsia" w:ascii="仿宋_GB2312" w:hAnsi="仿宋_GB2312" w:eastAsia="仿宋_GB2312"/>
        </w:rPr>
        <w:t>内控信息化管理平台软件</w:t>
      </w:r>
      <w:r>
        <w:rPr>
          <w:rFonts w:hint="eastAsia"/>
        </w:rPr>
        <w:t>在多个国产操作系统上的迁移和适配；</w:t>
      </w:r>
    </w:p>
    <w:p>
      <w:pPr>
        <w:pStyle w:val="2"/>
        <w:ind w:firstLine="0" w:firstLineChars="0"/>
      </w:pPr>
      <w:r>
        <w:rPr>
          <w:rFonts w:hint="eastAsia"/>
        </w:rPr>
        <w:t>（2）采用B/S架构，以方便使用和系统的维护与升级；</w:t>
      </w:r>
    </w:p>
    <w:p>
      <w:pPr>
        <w:pStyle w:val="2"/>
        <w:ind w:firstLine="0" w:firstLineChars="0"/>
      </w:pPr>
      <w:r>
        <w:rPr>
          <w:rFonts w:hint="eastAsia"/>
        </w:rPr>
        <w:t>★（3）支持MYSQL 8.0及以上版本、SQL Server 2010以上版本、达梦数据库、人大金仓等国产数据库；</w:t>
      </w:r>
    </w:p>
    <w:p>
      <w:pPr>
        <w:pStyle w:val="2"/>
        <w:ind w:firstLine="0" w:firstLineChars="0"/>
        <w:rPr>
          <w:rFonts w:eastAsia="仿宋_GB2312"/>
        </w:rPr>
      </w:pPr>
      <w:r>
        <w:rPr>
          <w:rFonts w:hint="eastAsia"/>
        </w:rPr>
        <w:t>★（4）</w:t>
      </w:r>
      <w:r>
        <w:rPr>
          <w:rFonts w:hint="eastAsia" w:ascii="仿宋_GB2312" w:hAnsi="仿宋_GB2312" w:eastAsia="仿宋_GB2312"/>
        </w:rPr>
        <w:t>内控信息化管理平台软件必须满足等保二级及以上测评要求；</w:t>
      </w:r>
    </w:p>
    <w:p>
      <w:pPr>
        <w:pStyle w:val="2"/>
        <w:ind w:firstLine="0" w:firstLineChars="0"/>
      </w:pPr>
      <w:r>
        <w:rPr>
          <w:rFonts w:hint="eastAsia"/>
        </w:rPr>
        <w:t>（5）支持各种常用浏览器，包括IE7.0以上的浏览器、360浏览器、CHROME浏览器、safari浏览器等；</w:t>
      </w:r>
    </w:p>
    <w:p>
      <w:pPr>
        <w:pStyle w:val="2"/>
        <w:ind w:firstLine="0" w:firstLineChars="0"/>
      </w:pPr>
      <w:r>
        <w:rPr>
          <w:rFonts w:hint="eastAsia"/>
        </w:rPr>
        <w:t>（6）支持邮件、短信、web消息等消息提醒服务。</w:t>
      </w:r>
    </w:p>
    <w:p>
      <w:pPr>
        <w:ind w:firstLine="480"/>
      </w:pPr>
    </w:p>
    <w:p>
      <w:pPr>
        <w:pStyle w:val="5"/>
      </w:pPr>
      <w:r>
        <w:rPr>
          <w:rFonts w:hint="eastAsia"/>
        </w:rPr>
        <w:t>内控信息化管理平台软件</w:t>
      </w:r>
    </w:p>
    <w:tbl>
      <w:tblPr>
        <w:tblStyle w:val="31"/>
        <w:tblpPr w:leftFromText="180" w:rightFromText="180" w:vertAnchor="text" w:horzAnchor="page" w:tblpX="1785" w:tblpY="620"/>
        <w:tblOverlap w:val="never"/>
        <w:tblW w:w="0" w:type="auto"/>
        <w:tblInd w:w="0" w:type="dxa"/>
        <w:tblLayout w:type="fixed"/>
        <w:tblCellMar>
          <w:top w:w="0" w:type="dxa"/>
          <w:left w:w="108" w:type="dxa"/>
          <w:bottom w:w="0" w:type="dxa"/>
          <w:right w:w="108" w:type="dxa"/>
        </w:tblCellMar>
      </w:tblPr>
      <w:tblGrid>
        <w:gridCol w:w="2019"/>
        <w:gridCol w:w="6503"/>
      </w:tblGrid>
      <w:tr>
        <w:tblPrEx>
          <w:tblCellMar>
            <w:top w:w="0" w:type="dxa"/>
            <w:left w:w="108" w:type="dxa"/>
            <w:bottom w:w="0" w:type="dxa"/>
            <w:right w:w="108" w:type="dxa"/>
          </w:tblCellMar>
        </w:tblPrEx>
        <w:trPr>
          <w:trHeight w:val="375" w:hRule="atLeast"/>
        </w:trPr>
        <w:tc>
          <w:tcPr>
            <w:tcW w:w="2019" w:type="dxa"/>
            <w:tcBorders>
              <w:top w:val="single" w:color="000000" w:sz="4" w:space="0"/>
              <w:left w:val="single" w:color="000000" w:sz="4" w:space="0"/>
              <w:bottom w:val="single" w:color="000000" w:sz="4" w:space="0"/>
              <w:right w:val="single" w:color="000000" w:sz="4" w:space="0"/>
            </w:tcBorders>
            <w:vAlign w:val="center"/>
          </w:tcPr>
          <w:p>
            <w:pPr>
              <w:pStyle w:val="5"/>
              <w:numPr>
                <w:ilvl w:val="2"/>
                <w:numId w:val="0"/>
              </w:numPr>
              <w:ind w:firstLine="146"/>
              <w:jc w:val="center"/>
              <w:rPr>
                <w:rFonts w:ascii="仿宋_GB2312" w:hAnsi="仿宋_GB2312" w:eastAsia="仿宋_GB2312"/>
              </w:rPr>
            </w:pPr>
            <w:r>
              <w:rPr>
                <w:rFonts w:hint="eastAsia" w:cs="仿宋"/>
              </w:rPr>
              <w:t>功能及指标</w:t>
            </w:r>
          </w:p>
        </w:tc>
        <w:tc>
          <w:tcPr>
            <w:tcW w:w="6503" w:type="dxa"/>
            <w:tcBorders>
              <w:top w:val="single" w:color="000000" w:sz="4" w:space="0"/>
              <w:left w:val="single" w:color="000000" w:sz="4" w:space="0"/>
              <w:bottom w:val="single" w:color="000000" w:sz="4" w:space="0"/>
              <w:right w:val="single" w:color="000000" w:sz="4" w:space="0"/>
            </w:tcBorders>
            <w:vAlign w:val="center"/>
          </w:tcPr>
          <w:p>
            <w:pPr>
              <w:autoSpaceDN w:val="0"/>
              <w:ind w:firstLine="480"/>
              <w:jc w:val="center"/>
              <w:textAlignment w:val="center"/>
              <w:rPr>
                <w:rFonts w:ascii="宋体" w:hAnsi="宋体" w:eastAsia="宋体" w:cs="宋体"/>
              </w:rPr>
            </w:pPr>
            <w:r>
              <w:rPr>
                <w:rFonts w:hint="eastAsia" w:cs="仿宋"/>
              </w:rPr>
              <w:t>参数要求</w:t>
            </w:r>
          </w:p>
        </w:tc>
      </w:tr>
      <w:tr>
        <w:tblPrEx>
          <w:tblCellMar>
            <w:top w:w="0" w:type="dxa"/>
            <w:left w:w="108" w:type="dxa"/>
            <w:bottom w:w="0" w:type="dxa"/>
            <w:right w:w="108" w:type="dxa"/>
          </w:tblCellMar>
        </w:tblPrEx>
        <w:trPr>
          <w:trHeight w:val="983" w:hRule="atLeast"/>
        </w:trPr>
        <w:tc>
          <w:tcPr>
            <w:tcW w:w="2019" w:type="dxa"/>
            <w:tcBorders>
              <w:top w:val="single" w:color="000000" w:sz="4" w:space="0"/>
              <w:left w:val="single" w:color="000000" w:sz="4" w:space="0"/>
              <w:bottom w:val="single" w:color="000000" w:sz="4" w:space="0"/>
              <w:right w:val="single" w:color="000000" w:sz="4" w:space="0"/>
            </w:tcBorders>
            <w:vAlign w:val="center"/>
          </w:tcPr>
          <w:p>
            <w:pPr>
              <w:pStyle w:val="5"/>
              <w:numPr>
                <w:ilvl w:val="2"/>
                <w:numId w:val="0"/>
              </w:numPr>
              <w:ind w:firstLine="146"/>
              <w:jc w:val="center"/>
              <w:rPr>
                <w:rFonts w:ascii="仿宋_GB2312" w:hAnsi="仿宋_GB2312"/>
                <w:b w:val="0"/>
                <w:bCs w:val="0"/>
              </w:rPr>
            </w:pPr>
            <w:r>
              <w:rPr>
                <w:rFonts w:hint="eastAsia"/>
                <w:b w:val="0"/>
                <w:bCs w:val="0"/>
              </w:rPr>
              <w:t>基础配置功能</w:t>
            </w:r>
          </w:p>
        </w:tc>
        <w:tc>
          <w:tcPr>
            <w:tcW w:w="6503" w:type="dxa"/>
            <w:tcBorders>
              <w:top w:val="single" w:color="000000" w:sz="4" w:space="0"/>
              <w:left w:val="single" w:color="000000" w:sz="4" w:space="0"/>
              <w:bottom w:val="single" w:color="000000" w:sz="4" w:space="0"/>
              <w:right w:val="single" w:color="000000" w:sz="4" w:space="0"/>
            </w:tcBorders>
          </w:tcPr>
          <w:p>
            <w:pPr>
              <w:pStyle w:val="5"/>
              <w:numPr>
                <w:ilvl w:val="2"/>
                <w:numId w:val="0"/>
              </w:numPr>
              <w:ind w:firstLine="146"/>
              <w:jc w:val="left"/>
              <w:rPr>
                <w:b w:val="0"/>
                <w:bCs w:val="0"/>
              </w:rPr>
            </w:pPr>
            <w:r>
              <w:rPr>
                <w:rFonts w:hint="eastAsia"/>
                <w:b w:val="0"/>
                <w:bCs w:val="0"/>
              </w:rPr>
              <w:t>★（1）支持自定义设置内控管理相关工作流程。</w:t>
            </w:r>
          </w:p>
          <w:p>
            <w:pPr>
              <w:pStyle w:val="5"/>
              <w:numPr>
                <w:ilvl w:val="2"/>
                <w:numId w:val="0"/>
              </w:numPr>
              <w:ind w:firstLine="146"/>
              <w:jc w:val="left"/>
              <w:rPr>
                <w:b w:val="0"/>
                <w:bCs w:val="0"/>
              </w:rPr>
            </w:pPr>
            <w:r>
              <w:rPr>
                <w:rFonts w:hint="eastAsia"/>
                <w:b w:val="0"/>
                <w:bCs w:val="0"/>
              </w:rPr>
              <w:t>（2）支持常用功能模块：首页展示使用人员常用功能，方便系统使用人员对常用功能的快速跟踪及使用。</w:t>
            </w:r>
          </w:p>
          <w:p>
            <w:pPr>
              <w:pStyle w:val="5"/>
              <w:numPr>
                <w:ilvl w:val="2"/>
                <w:numId w:val="0"/>
              </w:numPr>
              <w:ind w:firstLine="146"/>
              <w:jc w:val="left"/>
              <w:rPr>
                <w:b w:val="0"/>
                <w:bCs w:val="0"/>
              </w:rPr>
            </w:pPr>
            <w:r>
              <w:rPr>
                <w:rFonts w:hint="eastAsia"/>
                <w:b w:val="0"/>
                <w:bCs w:val="0"/>
              </w:rPr>
              <w:t>（3）待办消息提醒：首页支持待办消息提醒，点击提醒消息，可快速处理待办任务。</w:t>
            </w:r>
          </w:p>
          <w:p>
            <w:pPr>
              <w:pStyle w:val="5"/>
              <w:numPr>
                <w:ilvl w:val="2"/>
                <w:numId w:val="0"/>
              </w:numPr>
              <w:ind w:firstLine="146"/>
              <w:jc w:val="left"/>
              <w:rPr>
                <w:b w:val="0"/>
                <w:bCs w:val="0"/>
              </w:rPr>
            </w:pPr>
            <w:r>
              <w:rPr>
                <w:rFonts w:hint="eastAsia"/>
                <w:b w:val="0"/>
                <w:bCs w:val="0"/>
              </w:rPr>
              <w:t>（4）通知公告:展示系统通知和单位通知信息，让系统使用人员可了解到最新的通知信息</w:t>
            </w:r>
          </w:p>
          <w:p>
            <w:pPr>
              <w:pStyle w:val="5"/>
              <w:numPr>
                <w:ilvl w:val="2"/>
                <w:numId w:val="0"/>
              </w:numPr>
              <w:ind w:firstLine="146"/>
              <w:jc w:val="left"/>
              <w:rPr>
                <w:b w:val="0"/>
                <w:bCs w:val="0"/>
              </w:rPr>
            </w:pPr>
            <w:r>
              <w:rPr>
                <w:rFonts w:hint="eastAsia"/>
                <w:b w:val="0"/>
                <w:bCs w:val="0"/>
              </w:rPr>
              <w:t>（5）图形化统计:以图形化展示项目执行进度，项目数量、经费及合同等统计信息。</w:t>
            </w:r>
          </w:p>
          <w:p>
            <w:pPr>
              <w:ind w:firstLine="0" w:firstLineChars="0"/>
              <w:rPr>
                <w:szCs w:val="24"/>
              </w:rPr>
            </w:pPr>
            <w:r>
              <w:rPr>
                <w:rFonts w:hint="eastAsia"/>
              </w:rPr>
              <w:t>（6）系统管理：</w:t>
            </w:r>
            <w:r>
              <w:rPr>
                <w:rFonts w:hint="eastAsia"/>
                <w:szCs w:val="24"/>
              </w:rPr>
              <w:t>支持对单位的组织、人员、岗位进行管理，支持对系统角色管理、菜单等进行管理。</w:t>
            </w:r>
          </w:p>
          <w:p>
            <w:pPr>
              <w:pStyle w:val="2"/>
              <w:ind w:firstLine="0" w:firstLineChars="0"/>
            </w:pPr>
            <w:r>
              <w:rPr>
                <w:rFonts w:hint="eastAsia"/>
              </w:rPr>
              <w:t>（7）字典管理：对经费模板、项目类型、采购目录、经济科目等信息</w:t>
            </w:r>
            <w:r>
              <w:rPr>
                <w:rFonts w:hint="eastAsia"/>
                <w:szCs w:val="24"/>
              </w:rPr>
              <w:t>进行管理</w:t>
            </w:r>
          </w:p>
          <w:p>
            <w:pPr>
              <w:pStyle w:val="2"/>
              <w:ind w:firstLine="0" w:firstLineChars="0"/>
            </w:pPr>
            <w:r>
              <w:rPr>
                <w:rFonts w:hint="eastAsia"/>
              </w:rPr>
              <w:t>★（8）接口管理：对短信服务接口、发票验证服务接口、外部项目服务等接口进行管理。</w:t>
            </w:r>
          </w:p>
        </w:tc>
      </w:tr>
      <w:tr>
        <w:tblPrEx>
          <w:tblCellMar>
            <w:top w:w="0" w:type="dxa"/>
            <w:left w:w="108" w:type="dxa"/>
            <w:bottom w:w="0" w:type="dxa"/>
            <w:right w:w="108" w:type="dxa"/>
          </w:tblCellMar>
        </w:tblPrEx>
        <w:trPr>
          <w:trHeight w:val="983" w:hRule="atLeast"/>
        </w:trPr>
        <w:tc>
          <w:tcPr>
            <w:tcW w:w="2019" w:type="dxa"/>
            <w:tcBorders>
              <w:top w:val="single" w:color="000000" w:sz="4" w:space="0"/>
              <w:left w:val="single" w:color="000000" w:sz="4" w:space="0"/>
              <w:bottom w:val="single" w:color="000000" w:sz="4" w:space="0"/>
              <w:right w:val="single" w:color="000000" w:sz="4" w:space="0"/>
            </w:tcBorders>
            <w:vAlign w:val="center"/>
          </w:tcPr>
          <w:p>
            <w:pPr>
              <w:pStyle w:val="5"/>
              <w:numPr>
                <w:ilvl w:val="2"/>
                <w:numId w:val="0"/>
              </w:numPr>
              <w:jc w:val="center"/>
              <w:rPr>
                <w:rFonts w:ascii="仿宋_GB2312" w:hAnsi="仿宋_GB2312" w:eastAsia="仿宋_GB2312"/>
                <w:b w:val="0"/>
                <w:bCs w:val="0"/>
              </w:rPr>
            </w:pPr>
            <w:bookmarkStart w:id="135" w:name="_Toc103721720"/>
            <w:bookmarkStart w:id="136" w:name="_Toc102987721"/>
            <w:bookmarkStart w:id="137" w:name="_Toc109664458"/>
            <w:bookmarkStart w:id="138" w:name="_Toc109287831"/>
            <w:bookmarkStart w:id="139" w:name="_Toc102983610"/>
            <w:bookmarkStart w:id="140" w:name="_Toc109659467"/>
            <w:bookmarkStart w:id="141" w:name="_Toc112098313"/>
            <w:r>
              <w:rPr>
                <w:rFonts w:hint="eastAsia"/>
                <w:b w:val="0"/>
                <w:bCs w:val="0"/>
              </w:rPr>
              <w:t>项目</w:t>
            </w:r>
            <w:bookmarkEnd w:id="135"/>
            <w:bookmarkEnd w:id="136"/>
            <w:bookmarkEnd w:id="137"/>
            <w:bookmarkEnd w:id="138"/>
            <w:bookmarkEnd w:id="139"/>
            <w:bookmarkEnd w:id="140"/>
            <w:bookmarkEnd w:id="141"/>
            <w:r>
              <w:rPr>
                <w:rFonts w:hint="eastAsia"/>
                <w:b w:val="0"/>
                <w:bCs w:val="0"/>
              </w:rPr>
              <w:t>管理功能</w:t>
            </w:r>
          </w:p>
        </w:tc>
        <w:tc>
          <w:tcPr>
            <w:tcW w:w="6503" w:type="dxa"/>
            <w:tcBorders>
              <w:top w:val="single" w:color="000000" w:sz="4" w:space="0"/>
              <w:left w:val="single" w:color="000000" w:sz="4" w:space="0"/>
              <w:bottom w:val="single" w:color="000000" w:sz="4" w:space="0"/>
              <w:right w:val="single" w:color="000000" w:sz="4" w:space="0"/>
            </w:tcBorders>
          </w:tcPr>
          <w:p>
            <w:pPr>
              <w:pStyle w:val="5"/>
              <w:numPr>
                <w:ilvl w:val="2"/>
                <w:numId w:val="0"/>
              </w:numPr>
              <w:ind w:firstLine="146"/>
              <w:jc w:val="left"/>
              <w:rPr>
                <w:b w:val="0"/>
                <w:bCs w:val="0"/>
              </w:rPr>
            </w:pPr>
            <w:r>
              <w:rPr>
                <w:rFonts w:hint="eastAsia"/>
                <w:b w:val="0"/>
                <w:bCs w:val="0"/>
              </w:rPr>
              <w:t>（1）建立与预算管理系统、采购管理系统、收支管理系统、合同管理系统相衔接的项目管理系统，明确项目主体及主体责任，包括项目立项申请、项目储备库管理、项目执行过程跟踪、项目验收、项目进度统计及资金使用台账、项目预算绩效管理项目档案管理等功能。</w:t>
            </w:r>
          </w:p>
          <w:p>
            <w:pPr>
              <w:pStyle w:val="5"/>
              <w:numPr>
                <w:ilvl w:val="2"/>
                <w:numId w:val="0"/>
              </w:numPr>
              <w:ind w:firstLine="146"/>
              <w:jc w:val="left"/>
            </w:pPr>
            <w:r>
              <w:rPr>
                <w:rFonts w:hint="eastAsia"/>
                <w:b w:val="0"/>
                <w:bCs w:val="0"/>
              </w:rPr>
              <w:t>（2）实现对项目全方位的档案和资料信息、历年预算和执行、结转等的查询、统计、跟踪、追溯等功能。</w:t>
            </w:r>
          </w:p>
        </w:tc>
      </w:tr>
      <w:tr>
        <w:tblPrEx>
          <w:tblCellMar>
            <w:top w:w="0" w:type="dxa"/>
            <w:left w:w="108" w:type="dxa"/>
            <w:bottom w:w="0" w:type="dxa"/>
            <w:right w:w="108" w:type="dxa"/>
          </w:tblCellMar>
        </w:tblPrEx>
        <w:trPr>
          <w:trHeight w:val="983" w:hRule="atLeast"/>
        </w:trPr>
        <w:tc>
          <w:tcPr>
            <w:tcW w:w="2019" w:type="dxa"/>
            <w:tcBorders>
              <w:top w:val="single" w:color="000000" w:sz="4" w:space="0"/>
              <w:left w:val="single" w:color="000000" w:sz="4" w:space="0"/>
              <w:bottom w:val="single" w:color="000000" w:sz="4" w:space="0"/>
              <w:right w:val="single" w:color="000000" w:sz="4" w:space="0"/>
            </w:tcBorders>
            <w:vAlign w:val="center"/>
          </w:tcPr>
          <w:p>
            <w:pPr>
              <w:pStyle w:val="5"/>
              <w:numPr>
                <w:ilvl w:val="2"/>
                <w:numId w:val="0"/>
              </w:numPr>
              <w:jc w:val="center"/>
              <w:rPr>
                <w:b w:val="0"/>
                <w:bCs w:val="0"/>
              </w:rPr>
            </w:pPr>
            <w:r>
              <w:rPr>
                <w:rFonts w:hint="eastAsia"/>
                <w:b w:val="0"/>
                <w:bCs w:val="0"/>
              </w:rPr>
              <w:t>预算管理功能</w:t>
            </w:r>
          </w:p>
        </w:tc>
        <w:tc>
          <w:tcPr>
            <w:tcW w:w="6503" w:type="dxa"/>
            <w:tcBorders>
              <w:top w:val="single" w:color="000000" w:sz="4" w:space="0"/>
              <w:left w:val="single" w:color="000000" w:sz="4" w:space="0"/>
              <w:bottom w:val="single" w:color="000000" w:sz="4" w:space="0"/>
              <w:right w:val="single" w:color="000000" w:sz="4" w:space="0"/>
            </w:tcBorders>
          </w:tcPr>
          <w:p>
            <w:pPr>
              <w:pStyle w:val="5"/>
              <w:numPr>
                <w:ilvl w:val="2"/>
                <w:numId w:val="0"/>
              </w:numPr>
              <w:ind w:firstLine="146"/>
              <w:jc w:val="left"/>
              <w:rPr>
                <w:rFonts w:ascii="宋体" w:hAnsi="宋体" w:eastAsia="宋体" w:cs="宋体"/>
                <w:b w:val="0"/>
                <w:bCs w:val="0"/>
              </w:rPr>
            </w:pPr>
            <w:r>
              <w:rPr>
                <w:rFonts w:hint="eastAsia"/>
                <w:b w:val="0"/>
                <w:bCs w:val="0"/>
              </w:rPr>
              <w:t>（1）建立以预算控制为核心的多层次业务管控模式，主要包括预算编审、预算内部分解下达、预算执行与分析、预算动态调整和决算管理、预算绩效评价、预决算信息公开管理等功能。</w:t>
            </w:r>
          </w:p>
        </w:tc>
      </w:tr>
      <w:tr>
        <w:tblPrEx>
          <w:tblCellMar>
            <w:top w:w="0" w:type="dxa"/>
            <w:left w:w="108" w:type="dxa"/>
            <w:bottom w:w="0" w:type="dxa"/>
            <w:right w:w="108" w:type="dxa"/>
          </w:tblCellMar>
        </w:tblPrEx>
        <w:trPr>
          <w:trHeight w:val="983" w:hRule="atLeast"/>
        </w:trPr>
        <w:tc>
          <w:tcPr>
            <w:tcW w:w="2019" w:type="dxa"/>
            <w:tcBorders>
              <w:top w:val="single" w:color="000000" w:sz="4" w:space="0"/>
              <w:left w:val="single" w:color="000000" w:sz="4" w:space="0"/>
              <w:bottom w:val="single" w:color="000000" w:sz="4" w:space="0"/>
              <w:right w:val="single" w:color="000000" w:sz="4" w:space="0"/>
            </w:tcBorders>
            <w:vAlign w:val="center"/>
          </w:tcPr>
          <w:p>
            <w:pPr>
              <w:pStyle w:val="5"/>
              <w:numPr>
                <w:ilvl w:val="2"/>
                <w:numId w:val="0"/>
              </w:numPr>
              <w:jc w:val="center"/>
              <w:rPr>
                <w:b w:val="0"/>
                <w:bCs w:val="0"/>
              </w:rPr>
            </w:pPr>
            <w:r>
              <w:rPr>
                <w:rFonts w:hint="eastAsia"/>
                <w:b w:val="0"/>
                <w:bCs w:val="0"/>
              </w:rPr>
              <w:t>收支管理功能</w:t>
            </w:r>
          </w:p>
        </w:tc>
        <w:tc>
          <w:tcPr>
            <w:tcW w:w="6503" w:type="dxa"/>
            <w:tcBorders>
              <w:top w:val="single" w:color="000000" w:sz="4" w:space="0"/>
              <w:left w:val="single" w:color="000000" w:sz="4" w:space="0"/>
              <w:bottom w:val="single" w:color="000000" w:sz="4" w:space="0"/>
              <w:right w:val="single" w:color="000000" w:sz="4" w:space="0"/>
            </w:tcBorders>
          </w:tcPr>
          <w:p>
            <w:pPr>
              <w:ind w:firstLine="0" w:firstLineChars="0"/>
              <w:rPr>
                <w:rFonts w:cs="宋体"/>
                <w:szCs w:val="24"/>
              </w:rPr>
            </w:pPr>
            <w:r>
              <w:rPr>
                <w:rFonts w:hint="eastAsia"/>
              </w:rPr>
              <w:t>（1）</w:t>
            </w:r>
            <w:r>
              <w:rPr>
                <w:rFonts w:hint="eastAsia" w:cs="宋体"/>
                <w:szCs w:val="24"/>
              </w:rPr>
              <w:t>实现收入登记、非税收入收取等不同类型的收入管理。收入登记信息应记录收入方式、关联项目（若有）、年度、部门、收入明细（费用名称、到账时间、来款单位、银行账户、收入金额等信息）及相关的附件信息。</w:t>
            </w:r>
          </w:p>
          <w:p>
            <w:pPr>
              <w:pStyle w:val="5"/>
              <w:numPr>
                <w:ilvl w:val="2"/>
                <w:numId w:val="0"/>
              </w:numPr>
              <w:jc w:val="left"/>
              <w:rPr>
                <w:b w:val="0"/>
                <w:bCs w:val="0"/>
              </w:rPr>
            </w:pPr>
            <w:r>
              <w:rPr>
                <w:rFonts w:hint="eastAsia"/>
                <w:b w:val="0"/>
                <w:bCs w:val="0"/>
              </w:rPr>
              <w:t>（2）建立支出与预算、资金、合同等业务的全面协同和管控，包括资金收入；项目经费、办公经费等经费的事前审批管理、借款申请、用款计划管理、网上报销管理、票据管理、支出台账汇总分析等功能。</w:t>
            </w:r>
          </w:p>
          <w:p>
            <w:pPr>
              <w:pStyle w:val="5"/>
              <w:numPr>
                <w:ilvl w:val="2"/>
                <w:numId w:val="0"/>
              </w:numPr>
              <w:jc w:val="left"/>
              <w:rPr>
                <w:b w:val="0"/>
                <w:bCs w:val="0"/>
              </w:rPr>
            </w:pPr>
            <w:r>
              <w:rPr>
                <w:rFonts w:hint="eastAsia"/>
              </w:rPr>
              <w:t>★</w:t>
            </w:r>
            <w:r>
              <w:rPr>
                <w:rFonts w:hint="eastAsia"/>
                <w:b w:val="0"/>
                <w:bCs w:val="0"/>
              </w:rPr>
              <w:t>（3）通过OCR图像识别和人工智能，进行票据收集和辅助核票，提高核票效率，降低出错风险。</w:t>
            </w:r>
          </w:p>
          <w:p>
            <w:pPr>
              <w:pStyle w:val="5"/>
              <w:numPr>
                <w:ilvl w:val="2"/>
                <w:numId w:val="0"/>
              </w:numPr>
              <w:jc w:val="left"/>
            </w:pPr>
            <w:r>
              <w:rPr>
                <w:rFonts w:hint="eastAsia"/>
                <w:b w:val="0"/>
                <w:bCs w:val="0"/>
              </w:rPr>
              <w:t>（4）原始单据扫描上传，实现单位所有经费报销单据的电子化管理，便于归档、查阅、审核及审计监管。</w:t>
            </w:r>
          </w:p>
        </w:tc>
      </w:tr>
      <w:tr>
        <w:tblPrEx>
          <w:tblCellMar>
            <w:top w:w="0" w:type="dxa"/>
            <w:left w:w="108" w:type="dxa"/>
            <w:bottom w:w="0" w:type="dxa"/>
            <w:right w:w="108" w:type="dxa"/>
          </w:tblCellMar>
        </w:tblPrEx>
        <w:trPr>
          <w:trHeight w:val="983" w:hRule="atLeast"/>
        </w:trPr>
        <w:tc>
          <w:tcPr>
            <w:tcW w:w="2019" w:type="dxa"/>
            <w:tcBorders>
              <w:top w:val="single" w:color="000000" w:sz="4" w:space="0"/>
              <w:left w:val="single" w:color="000000" w:sz="4" w:space="0"/>
              <w:bottom w:val="single" w:color="000000" w:sz="4" w:space="0"/>
              <w:right w:val="single" w:color="000000" w:sz="4" w:space="0"/>
            </w:tcBorders>
            <w:vAlign w:val="center"/>
          </w:tcPr>
          <w:p>
            <w:pPr>
              <w:pStyle w:val="5"/>
              <w:numPr>
                <w:ilvl w:val="2"/>
                <w:numId w:val="0"/>
              </w:numPr>
              <w:jc w:val="center"/>
              <w:rPr>
                <w:b w:val="0"/>
                <w:bCs w:val="0"/>
              </w:rPr>
            </w:pPr>
            <w:r>
              <w:rPr>
                <w:rFonts w:hint="eastAsia"/>
                <w:b w:val="0"/>
                <w:bCs w:val="0"/>
              </w:rPr>
              <w:t>采购管理功能</w:t>
            </w:r>
          </w:p>
        </w:tc>
        <w:tc>
          <w:tcPr>
            <w:tcW w:w="6503" w:type="dxa"/>
            <w:tcBorders>
              <w:top w:val="single" w:color="000000" w:sz="4" w:space="0"/>
              <w:left w:val="single" w:color="000000" w:sz="4" w:space="0"/>
              <w:bottom w:val="single" w:color="000000" w:sz="4" w:space="0"/>
              <w:right w:val="single" w:color="000000" w:sz="4" w:space="0"/>
            </w:tcBorders>
          </w:tcPr>
          <w:p>
            <w:pPr>
              <w:pStyle w:val="5"/>
              <w:numPr>
                <w:ilvl w:val="2"/>
                <w:numId w:val="0"/>
              </w:numPr>
              <w:ind w:firstLine="146"/>
              <w:jc w:val="left"/>
              <w:rPr>
                <w:b w:val="0"/>
                <w:bCs w:val="0"/>
              </w:rPr>
            </w:pPr>
            <w:r>
              <w:rPr>
                <w:rFonts w:hint="eastAsia"/>
                <w:b w:val="0"/>
                <w:bCs w:val="0"/>
              </w:rPr>
              <w:t>（1）建立与预算指标管理、合同管理、资产管理、项目管理系统相衔接的采购管理子系统。</w:t>
            </w:r>
          </w:p>
          <w:p>
            <w:pPr>
              <w:pStyle w:val="5"/>
              <w:numPr>
                <w:ilvl w:val="2"/>
                <w:numId w:val="0"/>
              </w:numPr>
              <w:ind w:firstLine="146"/>
              <w:jc w:val="left"/>
              <w:rPr>
                <w:b w:val="0"/>
                <w:bCs w:val="0"/>
              </w:rPr>
            </w:pPr>
            <w:r>
              <w:rPr>
                <w:rFonts w:hint="eastAsia"/>
                <w:b w:val="0"/>
                <w:bCs w:val="0"/>
              </w:rPr>
              <w:t>（2）包括采购项目立项申报、采购执行、中标成交、采购验收、采购台账统计分析等功能，用于处室线上填报和审批采购申请、确定采购类别和方式、选择代理机构管理采购实施过程、组织采购项目验收、统计采购相关数据等工作。</w:t>
            </w:r>
          </w:p>
          <w:p>
            <w:pPr>
              <w:pStyle w:val="5"/>
              <w:numPr>
                <w:ilvl w:val="2"/>
                <w:numId w:val="0"/>
              </w:numPr>
              <w:ind w:firstLine="146"/>
              <w:jc w:val="left"/>
              <w:rPr>
                <w:b w:val="0"/>
                <w:bCs w:val="0"/>
              </w:rPr>
            </w:pPr>
            <w:r>
              <w:rPr>
                <w:rFonts w:hint="eastAsia"/>
                <w:b w:val="0"/>
                <w:bCs w:val="0"/>
              </w:rPr>
              <w:t>（3）支持自定义审批流程并“全程留痕”、个性化统计分析及数据导出。</w:t>
            </w:r>
          </w:p>
          <w:p>
            <w:pPr>
              <w:pStyle w:val="5"/>
              <w:numPr>
                <w:ilvl w:val="2"/>
                <w:numId w:val="0"/>
              </w:numPr>
              <w:ind w:firstLine="146"/>
              <w:jc w:val="left"/>
            </w:pPr>
            <w:r>
              <w:rPr>
                <w:rFonts w:hint="eastAsia"/>
                <w:b w:val="0"/>
                <w:bCs w:val="0"/>
              </w:rPr>
              <w:t>（4）支持采购项目以部门、单位为维度实时掌握采购进度情况。</w:t>
            </w:r>
          </w:p>
        </w:tc>
      </w:tr>
      <w:tr>
        <w:tblPrEx>
          <w:tblCellMar>
            <w:top w:w="0" w:type="dxa"/>
            <w:left w:w="108" w:type="dxa"/>
            <w:bottom w:w="0" w:type="dxa"/>
            <w:right w:w="108" w:type="dxa"/>
          </w:tblCellMar>
        </w:tblPrEx>
        <w:trPr>
          <w:trHeight w:val="983" w:hRule="atLeast"/>
        </w:trPr>
        <w:tc>
          <w:tcPr>
            <w:tcW w:w="2019" w:type="dxa"/>
            <w:tcBorders>
              <w:top w:val="single" w:color="000000" w:sz="4" w:space="0"/>
              <w:left w:val="single" w:color="000000" w:sz="4" w:space="0"/>
              <w:bottom w:val="single" w:color="000000" w:sz="4" w:space="0"/>
              <w:right w:val="single" w:color="000000" w:sz="4" w:space="0"/>
            </w:tcBorders>
            <w:vAlign w:val="center"/>
          </w:tcPr>
          <w:p>
            <w:pPr>
              <w:pStyle w:val="5"/>
              <w:numPr>
                <w:ilvl w:val="2"/>
                <w:numId w:val="0"/>
              </w:numPr>
              <w:ind w:firstLine="146"/>
              <w:jc w:val="center"/>
              <w:rPr>
                <w:rFonts w:ascii="仿宋_GB2312" w:hAnsi="仿宋_GB2312" w:eastAsia="仿宋_GB2312"/>
                <w:b w:val="0"/>
                <w:bCs w:val="0"/>
              </w:rPr>
            </w:pPr>
            <w:r>
              <w:rPr>
                <w:rFonts w:hint="eastAsia"/>
                <w:b w:val="0"/>
                <w:bCs w:val="0"/>
              </w:rPr>
              <w:t>合同管理功能</w:t>
            </w:r>
          </w:p>
        </w:tc>
        <w:tc>
          <w:tcPr>
            <w:tcW w:w="6503" w:type="dxa"/>
            <w:tcBorders>
              <w:top w:val="single" w:color="000000" w:sz="4" w:space="0"/>
              <w:left w:val="single" w:color="000000" w:sz="4" w:space="0"/>
              <w:bottom w:val="single" w:color="000000" w:sz="4" w:space="0"/>
              <w:right w:val="single" w:color="000000" w:sz="4" w:space="0"/>
            </w:tcBorders>
          </w:tcPr>
          <w:p>
            <w:pPr>
              <w:pStyle w:val="5"/>
              <w:numPr>
                <w:ilvl w:val="0"/>
                <w:numId w:val="11"/>
              </w:numPr>
              <w:ind w:firstLine="146"/>
              <w:jc w:val="left"/>
              <w:rPr>
                <w:b w:val="0"/>
                <w:bCs w:val="0"/>
              </w:rPr>
            </w:pPr>
            <w:r>
              <w:rPr>
                <w:rFonts w:hint="eastAsia"/>
                <w:b w:val="0"/>
                <w:bCs w:val="0"/>
              </w:rPr>
              <w:t>建立与采购管理系统、项目管理系统、收支管理系统相衔接的合同管理子系统。</w:t>
            </w:r>
          </w:p>
          <w:p>
            <w:pPr>
              <w:pStyle w:val="5"/>
              <w:numPr>
                <w:ilvl w:val="0"/>
                <w:numId w:val="11"/>
              </w:numPr>
              <w:ind w:firstLine="146"/>
              <w:jc w:val="left"/>
              <w:rPr>
                <w:b w:val="0"/>
                <w:bCs w:val="0"/>
              </w:rPr>
            </w:pPr>
            <w:r>
              <w:rPr>
                <w:rFonts w:hint="eastAsia"/>
                <w:b w:val="0"/>
                <w:bCs w:val="0"/>
              </w:rPr>
              <w:t>实现合同归口管理，明确合同审核订立审批流程。</w:t>
            </w:r>
          </w:p>
          <w:p>
            <w:pPr>
              <w:pStyle w:val="5"/>
              <w:numPr>
                <w:ilvl w:val="0"/>
                <w:numId w:val="11"/>
              </w:numPr>
              <w:ind w:firstLine="146"/>
              <w:jc w:val="left"/>
              <w:rPr>
                <w:rFonts w:ascii="宋体" w:hAnsi="宋体" w:eastAsia="宋体" w:cs="宋体"/>
                <w:b w:val="0"/>
                <w:bCs w:val="0"/>
              </w:rPr>
            </w:pPr>
            <w:r>
              <w:rPr>
                <w:rFonts w:hint="eastAsia"/>
                <w:b w:val="0"/>
                <w:bCs w:val="0"/>
              </w:rPr>
              <w:t>实现合同登记、合同变更、合同台账、合同结算、履约验收、合同纠纷处理的全过程管控功能。</w:t>
            </w:r>
          </w:p>
        </w:tc>
      </w:tr>
      <w:tr>
        <w:tblPrEx>
          <w:tblCellMar>
            <w:top w:w="0" w:type="dxa"/>
            <w:left w:w="108" w:type="dxa"/>
            <w:bottom w:w="0" w:type="dxa"/>
            <w:right w:w="108" w:type="dxa"/>
          </w:tblCellMar>
        </w:tblPrEx>
        <w:trPr>
          <w:trHeight w:val="983" w:hRule="atLeast"/>
        </w:trPr>
        <w:tc>
          <w:tcPr>
            <w:tcW w:w="2019" w:type="dxa"/>
            <w:tcBorders>
              <w:top w:val="single" w:color="000000" w:sz="4" w:space="0"/>
              <w:left w:val="single" w:color="000000" w:sz="4" w:space="0"/>
              <w:bottom w:val="single" w:color="000000" w:sz="4" w:space="0"/>
              <w:right w:val="single" w:color="000000" w:sz="4" w:space="0"/>
            </w:tcBorders>
            <w:vAlign w:val="center"/>
          </w:tcPr>
          <w:p>
            <w:pPr>
              <w:pStyle w:val="5"/>
              <w:numPr>
                <w:ilvl w:val="2"/>
                <w:numId w:val="0"/>
              </w:numPr>
              <w:ind w:firstLine="146"/>
              <w:jc w:val="center"/>
              <w:rPr>
                <w:rFonts w:ascii="仿宋_GB2312" w:hAnsi="仿宋_GB2312" w:eastAsia="仿宋_GB2312"/>
                <w:b w:val="0"/>
                <w:bCs w:val="0"/>
              </w:rPr>
            </w:pPr>
            <w:r>
              <w:rPr>
                <w:rFonts w:hint="eastAsia"/>
                <w:b w:val="0"/>
                <w:bCs w:val="0"/>
              </w:rPr>
              <w:t>国有资产管理功能</w:t>
            </w:r>
          </w:p>
        </w:tc>
        <w:tc>
          <w:tcPr>
            <w:tcW w:w="6503" w:type="dxa"/>
            <w:tcBorders>
              <w:top w:val="single" w:color="000000" w:sz="4" w:space="0"/>
              <w:left w:val="single" w:color="000000" w:sz="4" w:space="0"/>
              <w:bottom w:val="single" w:color="000000" w:sz="4" w:space="0"/>
              <w:right w:val="single" w:color="000000" w:sz="4" w:space="0"/>
            </w:tcBorders>
          </w:tcPr>
          <w:p>
            <w:pPr>
              <w:pStyle w:val="5"/>
              <w:numPr>
                <w:ilvl w:val="0"/>
                <w:numId w:val="12"/>
              </w:numPr>
              <w:ind w:firstLine="146"/>
              <w:jc w:val="left"/>
              <w:rPr>
                <w:b w:val="0"/>
                <w:bCs w:val="0"/>
              </w:rPr>
            </w:pPr>
            <w:r>
              <w:rPr>
                <w:rFonts w:hint="eastAsia"/>
                <w:b w:val="0"/>
                <w:bCs w:val="0"/>
              </w:rPr>
              <w:t>可以全面完成事业单位的资产核算功能，包括资产变动的管理、资产评估的管理、资产减值的管理、资产拆分的管理、资产减少的管理、资产调拨的管理、支持多种折旧与摊销方法进行折旧与摊销、支持折旧分配汇总周期的自定义、支持折旧制单方式的自定义。</w:t>
            </w:r>
          </w:p>
          <w:p>
            <w:pPr>
              <w:pStyle w:val="5"/>
              <w:numPr>
                <w:ilvl w:val="0"/>
                <w:numId w:val="12"/>
              </w:numPr>
              <w:ind w:firstLine="146"/>
              <w:jc w:val="left"/>
              <w:rPr>
                <w:b w:val="0"/>
                <w:bCs w:val="0"/>
              </w:rPr>
            </w:pPr>
            <w:r>
              <w:rPr>
                <w:rFonts w:hint="eastAsia"/>
                <w:b w:val="0"/>
                <w:bCs w:val="0"/>
              </w:rPr>
              <w:t>完善的资产部门管理，为一个资产提供管理部门、使用部门、折旧承担部门，使用部门支持多部门，折旧承担部门可以按资产随意指定是管理部门还是使用部门，管理部门、使用部门的数据权限。</w:t>
            </w:r>
          </w:p>
          <w:p>
            <w:pPr>
              <w:pStyle w:val="5"/>
              <w:numPr>
                <w:ilvl w:val="0"/>
                <w:numId w:val="12"/>
              </w:numPr>
              <w:ind w:firstLine="146"/>
              <w:jc w:val="left"/>
              <w:rPr>
                <w:rFonts w:ascii="宋体" w:hAnsi="宋体" w:cs="宋体"/>
                <w:b w:val="0"/>
                <w:bCs w:val="0"/>
              </w:rPr>
            </w:pPr>
            <w:r>
              <w:rPr>
                <w:rFonts w:hint="eastAsia"/>
                <w:b w:val="0"/>
                <w:bCs w:val="0"/>
              </w:rPr>
              <w:t>资产卡片功能，系统能够根据资产入账单据价值与数量，自动生成资产卡片。资产管理员能够对资产卡片完成入库操作，已入库且闲置的资产才能被其他使用人员领用或借用。</w:t>
            </w:r>
          </w:p>
        </w:tc>
      </w:tr>
      <w:tr>
        <w:tblPrEx>
          <w:tblCellMar>
            <w:top w:w="0" w:type="dxa"/>
            <w:left w:w="108" w:type="dxa"/>
            <w:bottom w:w="0" w:type="dxa"/>
            <w:right w:w="108" w:type="dxa"/>
          </w:tblCellMar>
        </w:tblPrEx>
        <w:trPr>
          <w:trHeight w:val="983" w:hRule="atLeast"/>
        </w:trPr>
        <w:tc>
          <w:tcPr>
            <w:tcW w:w="2019" w:type="dxa"/>
            <w:tcBorders>
              <w:top w:val="single" w:color="000000" w:sz="4" w:space="0"/>
              <w:left w:val="single" w:color="000000" w:sz="4" w:space="0"/>
              <w:bottom w:val="single" w:color="auto" w:sz="4" w:space="0"/>
              <w:right w:val="single" w:color="000000" w:sz="4" w:space="0"/>
            </w:tcBorders>
            <w:vAlign w:val="center"/>
          </w:tcPr>
          <w:p>
            <w:pPr>
              <w:pStyle w:val="5"/>
              <w:numPr>
                <w:ilvl w:val="2"/>
                <w:numId w:val="0"/>
              </w:numPr>
              <w:ind w:firstLine="146"/>
              <w:jc w:val="center"/>
              <w:rPr>
                <w:rFonts w:ascii="仿宋_GB2312" w:hAnsi="仿宋_GB2312" w:eastAsia="仿宋_GB2312"/>
                <w:b w:val="0"/>
                <w:bCs w:val="0"/>
              </w:rPr>
            </w:pPr>
            <w:r>
              <w:rPr>
                <w:rFonts w:hint="eastAsia"/>
                <w:b w:val="0"/>
                <w:bCs w:val="0"/>
              </w:rPr>
              <w:t>风险管理功能</w:t>
            </w:r>
          </w:p>
        </w:tc>
        <w:tc>
          <w:tcPr>
            <w:tcW w:w="6503" w:type="dxa"/>
            <w:tcBorders>
              <w:top w:val="single" w:color="000000" w:sz="4" w:space="0"/>
              <w:left w:val="single" w:color="000000" w:sz="4" w:space="0"/>
              <w:bottom w:val="single" w:color="auto" w:sz="4" w:space="0"/>
              <w:right w:val="single" w:color="000000" w:sz="4" w:space="0"/>
            </w:tcBorders>
          </w:tcPr>
          <w:p>
            <w:pPr>
              <w:pStyle w:val="5"/>
              <w:numPr>
                <w:ilvl w:val="2"/>
                <w:numId w:val="0"/>
              </w:numPr>
              <w:jc w:val="left"/>
              <w:rPr>
                <w:b w:val="0"/>
                <w:bCs w:val="0"/>
              </w:rPr>
            </w:pPr>
            <w:r>
              <w:rPr>
                <w:rFonts w:hint="eastAsia"/>
                <w:b w:val="0"/>
                <w:bCs w:val="0"/>
              </w:rPr>
              <w:t>（1）风险指标库:分业务层面、单位层面设置风险指标,风险指标包含风险点编号、风险点名称、风险点描述、风险类型、可能性等级等要素。</w:t>
            </w:r>
          </w:p>
          <w:p>
            <w:pPr>
              <w:pStyle w:val="5"/>
              <w:numPr>
                <w:ilvl w:val="2"/>
                <w:numId w:val="0"/>
              </w:numPr>
              <w:jc w:val="left"/>
              <w:rPr>
                <w:b w:val="0"/>
                <w:bCs w:val="0"/>
              </w:rPr>
            </w:pPr>
            <w:r>
              <w:rPr>
                <w:rFonts w:hint="eastAsia"/>
                <w:b w:val="0"/>
                <w:bCs w:val="0"/>
              </w:rPr>
              <w:t>（2）风险措施库:分业务层面、单位层面设置风险措施指标,风险措施指标包含控制编号、控制点名称、控制点描述、控制类型、控制频率、政策法规、控制文档、控制责任岗等要素。</w:t>
            </w:r>
          </w:p>
          <w:p>
            <w:pPr>
              <w:pStyle w:val="5"/>
              <w:numPr>
                <w:ilvl w:val="2"/>
                <w:numId w:val="0"/>
              </w:numPr>
              <w:jc w:val="left"/>
              <w:rPr>
                <w:b w:val="0"/>
                <w:bCs w:val="0"/>
              </w:rPr>
            </w:pPr>
            <w:r>
              <w:rPr>
                <w:rFonts w:hint="eastAsia"/>
                <w:b w:val="0"/>
                <w:bCs w:val="0"/>
              </w:rPr>
              <w:t>（3）风险识别评估:包含可能性评估、影响程度评估、风险类型等内容。</w:t>
            </w:r>
          </w:p>
          <w:p>
            <w:pPr>
              <w:pStyle w:val="5"/>
              <w:numPr>
                <w:ilvl w:val="2"/>
                <w:numId w:val="0"/>
              </w:numPr>
              <w:jc w:val="left"/>
              <w:rPr>
                <w:b w:val="0"/>
                <w:bCs w:val="0"/>
              </w:rPr>
            </w:pPr>
            <w:r>
              <w:rPr>
                <w:rFonts w:hint="eastAsia"/>
                <w:b w:val="0"/>
                <w:bCs w:val="0"/>
              </w:rPr>
              <w:t>（4）风险评价管理:包含自我评价、评价报告、缺陷整改等内容。</w:t>
            </w:r>
          </w:p>
          <w:p>
            <w:pPr>
              <w:pStyle w:val="5"/>
              <w:numPr>
                <w:ilvl w:val="2"/>
                <w:numId w:val="0"/>
              </w:numPr>
              <w:jc w:val="left"/>
              <w:rPr>
                <w:rFonts w:ascii="宋体" w:hAnsi="宋体" w:eastAsia="宋体" w:cs="宋体"/>
                <w:b w:val="0"/>
                <w:bCs w:val="0"/>
              </w:rPr>
            </w:pPr>
            <w:r>
              <w:rPr>
                <w:rFonts w:hint="eastAsia"/>
                <w:b w:val="0"/>
                <w:bCs w:val="0"/>
              </w:rPr>
              <w:t>（5）政策法规库:用于上传政策法规相关文件。</w:t>
            </w:r>
          </w:p>
        </w:tc>
      </w:tr>
    </w:tbl>
    <w:p>
      <w:pPr>
        <w:pStyle w:val="2"/>
        <w:ind w:firstLine="0" w:firstLineChars="0"/>
      </w:pPr>
    </w:p>
    <w:p>
      <w:pPr>
        <w:pStyle w:val="5"/>
      </w:pPr>
      <w:r>
        <w:rPr>
          <w:rFonts w:hint="eastAsia" w:ascii="仿宋_GB2312" w:hAnsi="仿宋_GB2312" w:eastAsia="仿宋_GB2312"/>
        </w:rPr>
        <w:t>云资源租赁服务</w:t>
      </w:r>
    </w:p>
    <w:tbl>
      <w:tblPr>
        <w:tblStyle w:val="31"/>
        <w:tblpPr w:leftFromText="180" w:rightFromText="180" w:vertAnchor="text" w:horzAnchor="page" w:tblpX="1785" w:tblpY="620"/>
        <w:tblOverlap w:val="never"/>
        <w:tblW w:w="0" w:type="auto"/>
        <w:tblInd w:w="0" w:type="dxa"/>
        <w:tblLayout w:type="fixed"/>
        <w:tblCellMar>
          <w:top w:w="0" w:type="dxa"/>
          <w:left w:w="108" w:type="dxa"/>
          <w:bottom w:w="0" w:type="dxa"/>
          <w:right w:w="108" w:type="dxa"/>
        </w:tblCellMar>
      </w:tblPr>
      <w:tblGrid>
        <w:gridCol w:w="2019"/>
        <w:gridCol w:w="6503"/>
      </w:tblGrid>
      <w:tr>
        <w:tblPrEx>
          <w:tblCellMar>
            <w:top w:w="0" w:type="dxa"/>
            <w:left w:w="108" w:type="dxa"/>
            <w:bottom w:w="0" w:type="dxa"/>
            <w:right w:w="108" w:type="dxa"/>
          </w:tblCellMar>
        </w:tblPrEx>
        <w:trPr>
          <w:trHeight w:val="375" w:hRule="atLeast"/>
        </w:trPr>
        <w:tc>
          <w:tcPr>
            <w:tcW w:w="2019" w:type="dxa"/>
            <w:tcBorders>
              <w:top w:val="single" w:color="000000" w:sz="4" w:space="0"/>
              <w:left w:val="single" w:color="000000" w:sz="4" w:space="0"/>
              <w:bottom w:val="single" w:color="000000" w:sz="4" w:space="0"/>
              <w:right w:val="single" w:color="000000" w:sz="4" w:space="0"/>
            </w:tcBorders>
            <w:vAlign w:val="center"/>
          </w:tcPr>
          <w:p>
            <w:pPr>
              <w:pStyle w:val="5"/>
              <w:numPr>
                <w:ilvl w:val="2"/>
                <w:numId w:val="0"/>
              </w:numPr>
              <w:ind w:firstLine="146"/>
              <w:jc w:val="center"/>
              <w:rPr>
                <w:rFonts w:ascii="仿宋_GB2312" w:hAnsi="仿宋_GB2312" w:eastAsia="仿宋_GB2312"/>
              </w:rPr>
            </w:pPr>
            <w:r>
              <w:rPr>
                <w:rFonts w:hint="eastAsia" w:cs="仿宋"/>
              </w:rPr>
              <w:t>指标</w:t>
            </w:r>
          </w:p>
        </w:tc>
        <w:tc>
          <w:tcPr>
            <w:tcW w:w="6503" w:type="dxa"/>
            <w:tcBorders>
              <w:top w:val="single" w:color="000000" w:sz="4" w:space="0"/>
              <w:left w:val="single" w:color="000000" w:sz="4" w:space="0"/>
              <w:bottom w:val="single" w:color="000000" w:sz="4" w:space="0"/>
              <w:right w:val="single" w:color="000000" w:sz="4" w:space="0"/>
            </w:tcBorders>
            <w:vAlign w:val="center"/>
          </w:tcPr>
          <w:p>
            <w:pPr>
              <w:autoSpaceDN w:val="0"/>
              <w:ind w:firstLine="480"/>
              <w:jc w:val="center"/>
              <w:textAlignment w:val="center"/>
              <w:rPr>
                <w:rFonts w:ascii="宋体" w:hAnsi="宋体" w:eastAsia="宋体" w:cs="宋体"/>
              </w:rPr>
            </w:pPr>
            <w:r>
              <w:rPr>
                <w:rFonts w:hint="eastAsia" w:cs="仿宋"/>
              </w:rPr>
              <w:t>参数要求</w:t>
            </w:r>
          </w:p>
        </w:tc>
      </w:tr>
      <w:tr>
        <w:tblPrEx>
          <w:tblCellMar>
            <w:top w:w="0" w:type="dxa"/>
            <w:left w:w="108" w:type="dxa"/>
            <w:bottom w:w="0" w:type="dxa"/>
            <w:right w:w="108" w:type="dxa"/>
          </w:tblCellMar>
        </w:tblPrEx>
        <w:trPr>
          <w:trHeight w:val="983" w:hRule="atLeast"/>
        </w:trPr>
        <w:tc>
          <w:tcPr>
            <w:tcW w:w="2019" w:type="dxa"/>
            <w:tcBorders>
              <w:top w:val="single" w:color="000000" w:sz="4" w:space="0"/>
              <w:left w:val="single" w:color="000000" w:sz="4" w:space="0"/>
              <w:bottom w:val="single" w:color="000000" w:sz="4" w:space="0"/>
              <w:right w:val="single" w:color="000000" w:sz="4" w:space="0"/>
            </w:tcBorders>
            <w:vAlign w:val="center"/>
          </w:tcPr>
          <w:p>
            <w:pPr>
              <w:pStyle w:val="5"/>
              <w:numPr>
                <w:ilvl w:val="2"/>
                <w:numId w:val="0"/>
              </w:numPr>
              <w:ind w:firstLine="146"/>
              <w:jc w:val="center"/>
              <w:rPr>
                <w:rFonts w:ascii="仿宋_GB2312" w:hAnsi="仿宋_GB2312"/>
                <w:b w:val="0"/>
                <w:bCs w:val="0"/>
              </w:rPr>
            </w:pPr>
            <w:r>
              <w:rPr>
                <w:rFonts w:hint="eastAsia" w:ascii="仿宋_GB2312" w:hAnsi="仿宋_GB2312"/>
                <w:b w:val="0"/>
                <w:bCs w:val="0"/>
              </w:rPr>
              <w:t>云服务器（应用服务器）</w:t>
            </w:r>
          </w:p>
        </w:tc>
        <w:tc>
          <w:tcPr>
            <w:tcW w:w="6503" w:type="dxa"/>
            <w:tcBorders>
              <w:top w:val="single" w:color="000000" w:sz="4" w:space="0"/>
              <w:left w:val="single" w:color="000000" w:sz="4" w:space="0"/>
              <w:bottom w:val="single" w:color="000000" w:sz="4" w:space="0"/>
              <w:right w:val="single" w:color="000000" w:sz="4" w:space="0"/>
            </w:tcBorders>
          </w:tcPr>
          <w:p>
            <w:pPr>
              <w:pStyle w:val="5"/>
              <w:numPr>
                <w:ilvl w:val="2"/>
                <w:numId w:val="0"/>
              </w:numPr>
              <w:ind w:firstLine="146"/>
              <w:jc w:val="left"/>
              <w:rPr>
                <w:b w:val="0"/>
                <w:bCs w:val="0"/>
              </w:rPr>
            </w:pPr>
            <w:r>
              <w:rPr>
                <w:rFonts w:hint="eastAsia"/>
                <w:b w:val="0"/>
                <w:bCs w:val="0"/>
              </w:rPr>
              <w:t>（1）数量：2台</w:t>
            </w:r>
          </w:p>
          <w:p>
            <w:pPr>
              <w:pStyle w:val="5"/>
              <w:numPr>
                <w:ilvl w:val="2"/>
                <w:numId w:val="0"/>
              </w:numPr>
              <w:ind w:firstLine="146"/>
              <w:jc w:val="left"/>
              <w:rPr>
                <w:b w:val="0"/>
                <w:bCs w:val="0"/>
              </w:rPr>
            </w:pPr>
            <w:r>
              <w:rPr>
                <w:rFonts w:hint="eastAsia"/>
              </w:rPr>
              <w:t>★</w:t>
            </w:r>
            <w:r>
              <w:rPr>
                <w:rFonts w:hint="eastAsia"/>
                <w:b w:val="0"/>
                <w:bCs w:val="0"/>
              </w:rPr>
              <w:t>（2）配置：4 核 vCPU（vCPU 频率不低于1G）、8G内存、云硬盘160G SSD 、数据盘500G、不低于10M公网带宽。</w:t>
            </w:r>
          </w:p>
          <w:p>
            <w:pPr>
              <w:pStyle w:val="5"/>
              <w:numPr>
                <w:ilvl w:val="2"/>
                <w:numId w:val="0"/>
              </w:numPr>
              <w:ind w:firstLine="146"/>
              <w:jc w:val="left"/>
            </w:pPr>
            <w:r>
              <w:rPr>
                <w:rFonts w:hint="eastAsia"/>
                <w:b w:val="0"/>
                <w:bCs w:val="0"/>
              </w:rPr>
              <w:t>（3）为云用户信息系统提供所需操作系统。</w:t>
            </w:r>
          </w:p>
        </w:tc>
      </w:tr>
      <w:tr>
        <w:tblPrEx>
          <w:tblCellMar>
            <w:top w:w="0" w:type="dxa"/>
            <w:left w:w="108" w:type="dxa"/>
            <w:bottom w:w="0" w:type="dxa"/>
            <w:right w:w="108" w:type="dxa"/>
          </w:tblCellMar>
        </w:tblPrEx>
        <w:trPr>
          <w:trHeight w:val="983" w:hRule="atLeast"/>
        </w:trPr>
        <w:tc>
          <w:tcPr>
            <w:tcW w:w="2019" w:type="dxa"/>
            <w:tcBorders>
              <w:top w:val="single" w:color="000000" w:sz="4" w:space="0"/>
              <w:left w:val="single" w:color="000000" w:sz="4" w:space="0"/>
              <w:bottom w:val="single" w:color="000000" w:sz="4" w:space="0"/>
              <w:right w:val="single" w:color="000000" w:sz="4" w:space="0"/>
            </w:tcBorders>
            <w:vAlign w:val="center"/>
          </w:tcPr>
          <w:p>
            <w:pPr>
              <w:pStyle w:val="5"/>
              <w:numPr>
                <w:ilvl w:val="2"/>
                <w:numId w:val="0"/>
              </w:numPr>
              <w:jc w:val="center"/>
              <w:rPr>
                <w:rFonts w:ascii="仿宋_GB2312" w:hAnsi="仿宋_GB2312" w:eastAsia="仿宋_GB2312"/>
                <w:b w:val="0"/>
                <w:bCs w:val="0"/>
              </w:rPr>
            </w:pPr>
            <w:r>
              <w:rPr>
                <w:rFonts w:hint="eastAsia" w:ascii="仿宋_GB2312" w:hAnsi="仿宋_GB2312"/>
                <w:b w:val="0"/>
                <w:bCs w:val="0"/>
              </w:rPr>
              <w:t>云服务器（数据库服务器）</w:t>
            </w:r>
          </w:p>
        </w:tc>
        <w:tc>
          <w:tcPr>
            <w:tcW w:w="6503" w:type="dxa"/>
            <w:tcBorders>
              <w:top w:val="single" w:color="000000" w:sz="4" w:space="0"/>
              <w:left w:val="single" w:color="000000" w:sz="4" w:space="0"/>
              <w:bottom w:val="single" w:color="000000" w:sz="4" w:space="0"/>
              <w:right w:val="single" w:color="000000" w:sz="4" w:space="0"/>
            </w:tcBorders>
          </w:tcPr>
          <w:p>
            <w:pPr>
              <w:pStyle w:val="5"/>
              <w:numPr>
                <w:ilvl w:val="2"/>
                <w:numId w:val="0"/>
              </w:numPr>
              <w:ind w:firstLine="146"/>
              <w:jc w:val="left"/>
              <w:rPr>
                <w:b w:val="0"/>
                <w:bCs w:val="0"/>
              </w:rPr>
            </w:pPr>
            <w:r>
              <w:rPr>
                <w:rFonts w:hint="eastAsia"/>
                <w:b w:val="0"/>
                <w:bCs w:val="0"/>
              </w:rPr>
              <w:t>（1）数量：1台</w:t>
            </w:r>
          </w:p>
          <w:p>
            <w:pPr>
              <w:pStyle w:val="5"/>
              <w:numPr>
                <w:ilvl w:val="2"/>
                <w:numId w:val="0"/>
              </w:numPr>
              <w:ind w:firstLine="146"/>
              <w:jc w:val="left"/>
              <w:rPr>
                <w:b w:val="0"/>
                <w:bCs w:val="0"/>
              </w:rPr>
            </w:pPr>
            <w:r>
              <w:rPr>
                <w:rFonts w:hint="eastAsia"/>
              </w:rPr>
              <w:t>★</w:t>
            </w:r>
            <w:r>
              <w:rPr>
                <w:rFonts w:hint="eastAsia"/>
                <w:b w:val="0"/>
                <w:bCs w:val="0"/>
              </w:rPr>
              <w:t>（2）配置：8 核 vCPU（vCPU 频率不低于1.5G）、16G内存、云硬盘160G SSD 、数据盘1000G、不低于10M公网带宽。</w:t>
            </w:r>
          </w:p>
          <w:p>
            <w:pPr>
              <w:pStyle w:val="5"/>
              <w:numPr>
                <w:ilvl w:val="2"/>
                <w:numId w:val="0"/>
              </w:numPr>
              <w:ind w:firstLine="146"/>
              <w:jc w:val="left"/>
            </w:pPr>
            <w:r>
              <w:rPr>
                <w:rFonts w:hint="eastAsia"/>
                <w:b w:val="0"/>
                <w:bCs w:val="0"/>
              </w:rPr>
              <w:t>（3）为云用户信息系统提供所需操作系统。</w:t>
            </w:r>
          </w:p>
        </w:tc>
      </w:tr>
      <w:tr>
        <w:tblPrEx>
          <w:tblCellMar>
            <w:top w:w="0" w:type="dxa"/>
            <w:left w:w="108" w:type="dxa"/>
            <w:bottom w:w="0" w:type="dxa"/>
            <w:right w:w="108" w:type="dxa"/>
          </w:tblCellMar>
        </w:tblPrEx>
        <w:trPr>
          <w:trHeight w:val="983" w:hRule="atLeast"/>
        </w:trPr>
        <w:tc>
          <w:tcPr>
            <w:tcW w:w="2019" w:type="dxa"/>
            <w:tcBorders>
              <w:top w:val="single" w:color="000000" w:sz="4" w:space="0"/>
              <w:left w:val="single" w:color="000000" w:sz="4" w:space="0"/>
              <w:bottom w:val="single" w:color="000000" w:sz="4" w:space="0"/>
              <w:right w:val="single" w:color="000000" w:sz="4" w:space="0"/>
            </w:tcBorders>
            <w:vAlign w:val="center"/>
          </w:tcPr>
          <w:p>
            <w:pPr>
              <w:pStyle w:val="5"/>
              <w:numPr>
                <w:ilvl w:val="2"/>
                <w:numId w:val="0"/>
              </w:numPr>
              <w:jc w:val="center"/>
              <w:rPr>
                <w:b w:val="0"/>
                <w:bCs w:val="0"/>
              </w:rPr>
            </w:pPr>
            <w:r>
              <w:rPr>
                <w:rFonts w:hint="eastAsia" w:ascii="仿宋_GB2312" w:hAnsi="仿宋_GB2312"/>
                <w:b w:val="0"/>
                <w:bCs w:val="0"/>
              </w:rPr>
              <w:t>数据备份服务</w:t>
            </w:r>
          </w:p>
        </w:tc>
        <w:tc>
          <w:tcPr>
            <w:tcW w:w="6503" w:type="dxa"/>
            <w:tcBorders>
              <w:top w:val="single" w:color="000000" w:sz="4" w:space="0"/>
              <w:left w:val="single" w:color="000000" w:sz="4" w:space="0"/>
              <w:bottom w:val="single" w:color="000000" w:sz="4" w:space="0"/>
              <w:right w:val="single" w:color="000000" w:sz="4" w:space="0"/>
            </w:tcBorders>
          </w:tcPr>
          <w:p>
            <w:pPr>
              <w:pStyle w:val="5"/>
              <w:numPr>
                <w:ilvl w:val="2"/>
                <w:numId w:val="0"/>
              </w:numPr>
              <w:ind w:firstLine="146"/>
              <w:jc w:val="left"/>
              <w:rPr>
                <w:b w:val="0"/>
                <w:bCs w:val="0"/>
              </w:rPr>
            </w:pPr>
            <w:r>
              <w:rPr>
                <w:rFonts w:hint="eastAsia"/>
                <w:b w:val="0"/>
                <w:bCs w:val="0"/>
              </w:rPr>
              <w:t>在本地机房提供云平台主机承载的应用文件、数据库， 以及云主机的数据备份和恢复服务，预防系统故障或数据丢失风险；提供不少于10TB数据备份容量。</w:t>
            </w:r>
          </w:p>
        </w:tc>
      </w:tr>
      <w:tr>
        <w:tblPrEx>
          <w:tblCellMar>
            <w:top w:w="0" w:type="dxa"/>
            <w:left w:w="108" w:type="dxa"/>
            <w:bottom w:w="0" w:type="dxa"/>
            <w:right w:w="108" w:type="dxa"/>
          </w:tblCellMar>
        </w:tblPrEx>
        <w:trPr>
          <w:trHeight w:val="983" w:hRule="atLeast"/>
        </w:trPr>
        <w:tc>
          <w:tcPr>
            <w:tcW w:w="2019" w:type="dxa"/>
            <w:tcBorders>
              <w:top w:val="single" w:color="000000" w:sz="4" w:space="0"/>
              <w:left w:val="single" w:color="000000" w:sz="4" w:space="0"/>
              <w:bottom w:val="single" w:color="000000" w:sz="4" w:space="0"/>
              <w:right w:val="single" w:color="000000" w:sz="4" w:space="0"/>
            </w:tcBorders>
            <w:vAlign w:val="center"/>
          </w:tcPr>
          <w:p>
            <w:pPr>
              <w:pStyle w:val="5"/>
              <w:numPr>
                <w:ilvl w:val="2"/>
                <w:numId w:val="0"/>
              </w:numPr>
              <w:jc w:val="center"/>
              <w:rPr>
                <w:b w:val="0"/>
                <w:bCs w:val="0"/>
              </w:rPr>
            </w:pPr>
            <w:r>
              <w:rPr>
                <w:rFonts w:hint="eastAsia" w:ascii="仿宋_GB2312" w:hAnsi="仿宋_GB2312"/>
                <w:b w:val="0"/>
                <w:bCs w:val="0"/>
              </w:rPr>
              <w:t>信息安全服务</w:t>
            </w:r>
          </w:p>
        </w:tc>
        <w:tc>
          <w:tcPr>
            <w:tcW w:w="6503" w:type="dxa"/>
            <w:tcBorders>
              <w:top w:val="single" w:color="000000" w:sz="4" w:space="0"/>
              <w:left w:val="single" w:color="000000" w:sz="4" w:space="0"/>
              <w:bottom w:val="single" w:color="000000" w:sz="4" w:space="0"/>
              <w:right w:val="single" w:color="000000" w:sz="4" w:space="0"/>
            </w:tcBorders>
          </w:tcPr>
          <w:p>
            <w:pPr>
              <w:pStyle w:val="5"/>
              <w:numPr>
                <w:ilvl w:val="2"/>
                <w:numId w:val="0"/>
              </w:numPr>
              <w:ind w:firstLine="146"/>
              <w:jc w:val="left"/>
              <w:rPr>
                <w:b w:val="0"/>
                <w:bCs w:val="0"/>
              </w:rPr>
            </w:pPr>
            <w:r>
              <w:rPr>
                <w:rFonts w:hint="eastAsia"/>
              </w:rPr>
              <w:t>★</w:t>
            </w:r>
            <w:r>
              <w:rPr>
                <w:rFonts w:hint="eastAsia"/>
                <w:b w:val="0"/>
                <w:bCs w:val="0"/>
              </w:rPr>
              <w:t>包括虚拟防火墙（网络吞吐量 500Mbps，含防火墙+入侵防御+VPN安全能力）、日志审计（审计日志源2个）、主机安全防护（支持 3个主机）、数据库审计、堡垒机（可管理多个资产）、Web 应用防火墙（支持1个子域名）、网页篡改防护、漏洞扫描等功能。</w:t>
            </w:r>
          </w:p>
        </w:tc>
      </w:tr>
    </w:tbl>
    <w:p>
      <w:pPr>
        <w:ind w:firstLine="0" w:firstLineChars="0"/>
      </w:pPr>
    </w:p>
    <w:p>
      <w:pPr>
        <w:pStyle w:val="4"/>
        <w:rPr>
          <w:rFonts w:ascii="仿宋" w:hAnsi="仿宋" w:eastAsia="仿宋"/>
          <w:b/>
          <w:bCs w:val="0"/>
        </w:rPr>
      </w:pPr>
      <w:bookmarkStart w:id="142" w:name="_Toc2234"/>
      <w:r>
        <w:rPr>
          <w:rFonts w:hint="eastAsia" w:ascii="仿宋" w:hAnsi="仿宋" w:eastAsia="仿宋"/>
          <w:b/>
          <w:bCs w:val="0"/>
        </w:rPr>
        <w:t>售后服务要求</w:t>
      </w:r>
      <w:bookmarkEnd w:id="142"/>
    </w:p>
    <w:p>
      <w:pPr>
        <w:ind w:firstLine="480"/>
        <w:rPr>
          <w:bCs/>
        </w:rPr>
      </w:pPr>
      <w:r>
        <w:rPr>
          <w:rFonts w:hint="eastAsia"/>
          <w:bCs/>
        </w:rPr>
        <w:t>1、供应商须提供7*24小时响应电话。遇系统故障，投标人需1小时响应，4小时到达现场，8小时内解决问题。</w:t>
      </w:r>
    </w:p>
    <w:p>
      <w:pPr>
        <w:ind w:firstLine="480"/>
        <w:rPr>
          <w:bCs/>
        </w:rPr>
      </w:pPr>
      <w:r>
        <w:rPr>
          <w:rFonts w:hint="eastAsia"/>
          <w:bCs/>
        </w:rPr>
        <w:t>2、质保期限：所有产品和服务自验收合格之日起质保3年。</w:t>
      </w:r>
    </w:p>
    <w:p>
      <w:pPr>
        <w:ind w:firstLine="480"/>
        <w:rPr>
          <w:bCs/>
        </w:rPr>
      </w:pPr>
      <w:r>
        <w:rPr>
          <w:rFonts w:hint="eastAsia"/>
          <w:bCs/>
        </w:rPr>
        <w:t>3、免费维护期后</w:t>
      </w:r>
      <w:bookmarkStart w:id="452" w:name="_GoBack"/>
      <w:bookmarkEnd w:id="452"/>
      <w:r>
        <w:rPr>
          <w:rFonts w:hint="eastAsia"/>
          <w:bCs/>
        </w:rPr>
        <w:t>，每年的软件维护费用（新增项目除外）不超过项目中标价格的10%。</w:t>
      </w:r>
    </w:p>
    <w:p>
      <w:pPr>
        <w:ind w:firstLine="480"/>
        <w:rPr>
          <w:bCs/>
          <w:color w:val="auto"/>
        </w:rPr>
      </w:pPr>
      <w:r>
        <w:rPr>
          <w:rFonts w:hint="eastAsia"/>
          <w:bCs/>
          <w:color w:val="auto"/>
        </w:rPr>
        <w:t>4、为了便于采购人进行后期系统运维，投标人提供</w:t>
      </w:r>
      <w:r>
        <w:rPr>
          <w:rFonts w:hint="eastAsia" w:ascii="仿宋_GB2312" w:hAnsi="仿宋_GB2312" w:eastAsia="仿宋_GB2312"/>
          <w:color w:val="auto"/>
        </w:rPr>
        <w:t>内控信息化管理平台软件</w:t>
      </w:r>
      <w:r>
        <w:rPr>
          <w:rFonts w:hint="eastAsia"/>
          <w:bCs/>
          <w:color w:val="auto"/>
        </w:rPr>
        <w:t>的全部源程序代码及相关开发文档，针对该内容提供原厂商的承诺函（实质性要求）。</w:t>
      </w:r>
    </w:p>
    <w:p>
      <w:pPr>
        <w:ind w:firstLine="480"/>
        <w:rPr>
          <w:bCs/>
          <w:color w:val="auto"/>
        </w:rPr>
      </w:pPr>
      <w:r>
        <w:rPr>
          <w:rFonts w:hint="eastAsia"/>
          <w:bCs/>
          <w:color w:val="auto"/>
        </w:rPr>
        <w:t>5、项目完成后中标方需对整个平台进行性能测试和功能测试，并提供测试报告（具有CMA或CNAS测试资质的机构），不再另计费用。</w:t>
      </w:r>
    </w:p>
    <w:bookmarkEnd w:id="134"/>
    <w:p>
      <w:pPr>
        <w:pStyle w:val="4"/>
        <w:rPr>
          <w:rFonts w:ascii="仿宋" w:hAnsi="仿宋" w:eastAsia="仿宋"/>
          <w:b/>
          <w:bCs w:val="0"/>
        </w:rPr>
      </w:pPr>
      <w:bookmarkStart w:id="143" w:name="_Toc13558"/>
      <w:r>
        <w:rPr>
          <w:rFonts w:ascii="仿宋" w:hAnsi="仿宋" w:eastAsia="仿宋"/>
          <w:b/>
          <w:bCs w:val="0"/>
        </w:rPr>
        <w:t>商务要求</w:t>
      </w:r>
      <w:bookmarkEnd w:id="143"/>
    </w:p>
    <w:p>
      <w:pPr>
        <w:ind w:firstLine="480"/>
        <w:rPr>
          <w:bCs/>
          <w:u w:val="single"/>
        </w:rPr>
      </w:pPr>
      <w:r>
        <w:rPr>
          <w:bCs/>
        </w:rPr>
        <w:t>1、履约期限：</w:t>
      </w:r>
      <w:r>
        <w:rPr>
          <w:rFonts w:hint="eastAsia"/>
          <w:bCs/>
        </w:rPr>
        <w:t>自采购合同签订生效之日起60</w:t>
      </w:r>
      <w:r>
        <w:rPr>
          <w:bCs/>
        </w:rPr>
        <w:t>日内</w:t>
      </w:r>
      <w:r>
        <w:rPr>
          <w:rFonts w:hint="eastAsia"/>
          <w:bCs/>
        </w:rPr>
        <w:t>完成本项目所述全部内容。</w:t>
      </w:r>
    </w:p>
    <w:p>
      <w:pPr>
        <w:ind w:firstLine="480"/>
        <w:rPr>
          <w:bCs/>
        </w:rPr>
      </w:pPr>
      <w:r>
        <w:rPr>
          <w:bCs/>
        </w:rPr>
        <w:t>2、履约地点：</w:t>
      </w:r>
      <w:r>
        <w:rPr>
          <w:rFonts w:hint="eastAsia"/>
          <w:bCs/>
        </w:rPr>
        <w:t>采购人指定地点。</w:t>
      </w:r>
    </w:p>
    <w:p>
      <w:pPr>
        <w:ind w:firstLine="480"/>
        <w:rPr>
          <w:bCs/>
        </w:rPr>
      </w:pPr>
      <w:r>
        <w:rPr>
          <w:bCs/>
        </w:rPr>
        <w:t>3、付款方式：</w:t>
      </w:r>
      <w:r>
        <w:rPr>
          <w:rFonts w:hint="eastAsia"/>
          <w:bCs/>
        </w:rPr>
        <w:t>自采购合同签订生效之日起10日内支付合同总金额的70</w:t>
      </w:r>
      <w:r>
        <w:rPr>
          <w:bCs/>
        </w:rPr>
        <w:t>%</w:t>
      </w:r>
      <w:r>
        <w:rPr>
          <w:rFonts w:hint="eastAsia"/>
          <w:bCs/>
        </w:rPr>
        <w:t>，验收合格之日起10日内支付合同总金额的30</w:t>
      </w:r>
      <w:r>
        <w:rPr>
          <w:bCs/>
        </w:rPr>
        <w:t>%。</w:t>
      </w:r>
      <w:r>
        <w:rPr>
          <w:rFonts w:hint="eastAsia"/>
        </w:rPr>
        <w:t>供应商在收款前应提供等额的发票。</w:t>
      </w:r>
    </w:p>
    <w:p>
      <w:pPr>
        <w:ind w:firstLine="480"/>
        <w:rPr>
          <w:bCs/>
        </w:rPr>
      </w:pPr>
      <w:r>
        <w:rPr>
          <w:bCs/>
        </w:rPr>
        <w:t>4</w:t>
      </w:r>
      <w:r>
        <w:rPr>
          <w:rFonts w:hint="eastAsia"/>
          <w:bCs/>
        </w:rPr>
        <w:t>、</w:t>
      </w:r>
      <w:r>
        <w:rPr>
          <w:bCs/>
        </w:rPr>
        <w:t>履约验收：</w:t>
      </w:r>
      <w:r>
        <w:rPr>
          <w:rFonts w:hint="eastAsia"/>
          <w:bCs/>
        </w:rPr>
        <w:t>参照</w:t>
      </w:r>
      <w:r>
        <w:rPr>
          <w:bCs/>
        </w:rPr>
        <w:t>《财政部关于进一步加强政府采购需求和履约验收</w:t>
      </w:r>
      <w:r>
        <w:rPr>
          <w:rFonts w:hint="eastAsia"/>
          <w:bCs/>
        </w:rPr>
        <w:t>管理的指导意见》（财库〔</w:t>
      </w:r>
      <w:r>
        <w:rPr>
          <w:bCs/>
        </w:rPr>
        <w:t>2016〕205 号）</w:t>
      </w:r>
      <w:r>
        <w:rPr>
          <w:rFonts w:hint="eastAsia"/>
          <w:bCs/>
        </w:rPr>
        <w:t>的规定，结合本项目</w:t>
      </w:r>
      <w:r>
        <w:rPr>
          <w:bCs/>
        </w:rPr>
        <w:t>磋商文件、响应文件及</w:t>
      </w:r>
      <w:r>
        <w:rPr>
          <w:rFonts w:hint="eastAsia"/>
          <w:bCs/>
        </w:rPr>
        <w:t>采购</w:t>
      </w:r>
      <w:r>
        <w:rPr>
          <w:bCs/>
        </w:rPr>
        <w:t>合同</w:t>
      </w:r>
      <w:r>
        <w:rPr>
          <w:rFonts w:hint="eastAsia"/>
          <w:bCs/>
        </w:rPr>
        <w:t>的要求</w:t>
      </w:r>
      <w:r>
        <w:rPr>
          <w:bCs/>
        </w:rPr>
        <w:t>进行验收。采购人组织验收人员组成验收小组，成交供应商予以配合，所有</w:t>
      </w:r>
      <w:r>
        <w:rPr>
          <w:rFonts w:hint="eastAsia"/>
          <w:bCs/>
        </w:rPr>
        <w:t>技术（服务）要求</w:t>
      </w:r>
      <w:r>
        <w:rPr>
          <w:bCs/>
        </w:rPr>
        <w:t>应</w:t>
      </w:r>
      <w:r>
        <w:rPr>
          <w:rFonts w:hint="eastAsia"/>
          <w:bCs/>
        </w:rPr>
        <w:t>满足本项目磋商文件、响应文件及采购合同的要求。</w:t>
      </w:r>
    </w:p>
    <w:p>
      <w:pPr>
        <w:ind w:firstLine="0" w:firstLineChars="0"/>
        <w:rPr>
          <w:b/>
        </w:rPr>
      </w:pPr>
    </w:p>
    <w:p>
      <w:pPr>
        <w:widowControl/>
        <w:spacing w:line="240" w:lineRule="auto"/>
        <w:ind w:firstLine="0" w:firstLineChars="0"/>
        <w:jc w:val="left"/>
        <w:rPr>
          <w:b/>
          <w:kern w:val="44"/>
          <w:sz w:val="32"/>
          <w:szCs w:val="48"/>
        </w:rPr>
      </w:pPr>
      <w:r>
        <w:br w:type="page"/>
      </w:r>
    </w:p>
    <w:p>
      <w:pPr>
        <w:pStyle w:val="3"/>
      </w:pPr>
      <w:bookmarkStart w:id="144" w:name="_Toc12122"/>
      <w:r>
        <w:rPr>
          <w:rFonts w:hint="eastAsia"/>
        </w:rPr>
        <w:t>响应文件格式</w:t>
      </w:r>
      <w:bookmarkEnd w:id="144"/>
    </w:p>
    <w:p>
      <w:pPr>
        <w:pStyle w:val="51"/>
      </w:pPr>
    </w:p>
    <w:p>
      <w:pPr>
        <w:ind w:firstLine="0" w:firstLineChars="0"/>
        <w:rPr>
          <w:highlight w:val="yellow"/>
        </w:rPr>
      </w:pPr>
      <w:r>
        <w:rPr>
          <w:rFonts w:hint="eastAsia"/>
          <w:b/>
          <w:bCs/>
        </w:rPr>
        <w:t>一、资格性响应文件</w:t>
      </w:r>
    </w:p>
    <w:p>
      <w:pPr>
        <w:ind w:firstLine="480"/>
      </w:pPr>
      <w:r>
        <w:rPr>
          <w:rFonts w:hint="eastAsia"/>
        </w:rPr>
        <w:t>资格性响应文件应包含磋商文件</w:t>
      </w:r>
      <w:r>
        <w:rPr>
          <w:rFonts w:hint="eastAsia"/>
          <w:b/>
        </w:rPr>
        <w:t>“第三章</w:t>
      </w:r>
      <w:r>
        <w:rPr>
          <w:b/>
        </w:rPr>
        <w:t xml:space="preserve"> 供应商资格条件及证明材料要求</w:t>
      </w:r>
      <w:r>
        <w:rPr>
          <w:rFonts w:hint="eastAsia"/>
          <w:b/>
        </w:rPr>
        <w:t>”</w:t>
      </w:r>
      <w:r>
        <w:rPr>
          <w:rFonts w:hint="eastAsia"/>
        </w:rPr>
        <w:t>中要求的证明材料，格式自拟，</w:t>
      </w:r>
      <w:r>
        <w:t>不得出现差项和漏项，否则</w:t>
      </w:r>
      <w:r>
        <w:rPr>
          <w:rFonts w:hint="eastAsia"/>
        </w:rPr>
        <w:t>因差项和漏项导致的“资格性审查”</w:t>
      </w:r>
      <w:r>
        <w:t>相关问题由</w:t>
      </w:r>
      <w:r>
        <w:rPr>
          <w:rFonts w:hint="eastAsia"/>
        </w:rPr>
        <w:t>供应商</w:t>
      </w:r>
      <w:r>
        <w:t>自行负责</w:t>
      </w:r>
      <w:r>
        <w:rPr>
          <w:rFonts w:hint="eastAsia"/>
        </w:rPr>
        <w:t>。</w:t>
      </w:r>
    </w:p>
    <w:p>
      <w:pPr>
        <w:ind w:firstLine="0" w:firstLineChars="0"/>
        <w:rPr>
          <w:b/>
          <w:bCs/>
        </w:rPr>
      </w:pPr>
      <w:r>
        <w:rPr>
          <w:rFonts w:hint="eastAsia"/>
          <w:b/>
          <w:bCs/>
        </w:rPr>
        <w:t>二、其他响应文件</w:t>
      </w:r>
    </w:p>
    <w:p>
      <w:pPr>
        <w:ind w:firstLine="0" w:firstLineChars="0"/>
      </w:pPr>
      <w:r>
        <w:rPr>
          <w:rFonts w:hint="eastAsia"/>
          <w:b/>
          <w:bCs/>
        </w:rPr>
        <w:t xml:space="preserve"> </w:t>
      </w:r>
      <w:r>
        <w:rPr>
          <w:b/>
          <w:bCs/>
        </w:rPr>
        <w:t xml:space="preserve"> </w:t>
      </w:r>
      <w:r>
        <w:t xml:space="preserve">  </w:t>
      </w:r>
      <w:r>
        <w:rPr>
          <w:rFonts w:hint="eastAsia"/>
        </w:rPr>
        <w:t>其他响应文件根据磋商文件第的要求自行拟定。</w:t>
      </w:r>
    </w:p>
    <w:p>
      <w:pPr>
        <w:ind w:firstLine="480"/>
      </w:pPr>
    </w:p>
    <w:p>
      <w:pPr>
        <w:ind w:firstLine="480"/>
      </w:pPr>
    </w:p>
    <w:p>
      <w:pPr>
        <w:ind w:firstLine="480"/>
      </w:pPr>
    </w:p>
    <w:p>
      <w:pPr>
        <w:ind w:firstLine="0" w:firstLineChars="0"/>
      </w:pPr>
    </w:p>
    <w:p>
      <w:pPr>
        <w:ind w:firstLine="0" w:firstLineChars="0"/>
        <w:rPr>
          <w:b/>
        </w:rPr>
      </w:pPr>
      <w:r>
        <w:rPr>
          <w:rFonts w:hint="eastAsia"/>
          <w:b/>
        </w:rPr>
        <w:t>备注：</w:t>
      </w:r>
      <w:r>
        <w:rPr>
          <w:b/>
        </w:rPr>
        <w:t>本章所制响应文件格式，除</w:t>
      </w:r>
      <w:r>
        <w:rPr>
          <w:rFonts w:hint="eastAsia"/>
          <w:b/>
        </w:rPr>
        <w:t>下述</w:t>
      </w:r>
      <w:r>
        <w:rPr>
          <w:b/>
        </w:rPr>
        <w:t>明确将该格式作为实质性要求的</w:t>
      </w:r>
      <w:r>
        <w:rPr>
          <w:rFonts w:hint="eastAsia"/>
          <w:b/>
        </w:rPr>
        <w:t>外</w:t>
      </w:r>
      <w:r>
        <w:rPr>
          <w:b/>
        </w:rPr>
        <w:t>，</w:t>
      </w:r>
      <w:r>
        <w:rPr>
          <w:rFonts w:hint="eastAsia"/>
          <w:b/>
        </w:rPr>
        <w:t>其他</w:t>
      </w:r>
      <w:r>
        <w:rPr>
          <w:b/>
        </w:rPr>
        <w:t>一律不具有强制性。</w:t>
      </w:r>
      <w:r>
        <w:rPr>
          <w:rFonts w:hint="eastAsia"/>
          <w:b/>
        </w:rPr>
        <w:t>响应文件格式实质性要求为：响应函。本章中“</w:t>
      </w:r>
      <w:r>
        <w:rPr>
          <w:b/>
        </w:rPr>
        <w:t>X”为可替换符号，不作为实质性审查内容。</w:t>
      </w:r>
    </w:p>
    <w:p>
      <w:pPr>
        <w:widowControl/>
        <w:spacing w:line="240" w:lineRule="auto"/>
        <w:ind w:firstLine="0" w:firstLineChars="0"/>
        <w:jc w:val="left"/>
        <w:rPr>
          <w:b/>
        </w:rPr>
      </w:pPr>
      <w:r>
        <w:rPr>
          <w:b/>
        </w:rPr>
        <w:br w:type="page"/>
      </w:r>
    </w:p>
    <w:p>
      <w:pPr>
        <w:pStyle w:val="4"/>
        <w:numPr>
          <w:ilvl w:val="0"/>
          <w:numId w:val="13"/>
        </w:numPr>
        <w:rPr>
          <w:rFonts w:ascii="仿宋" w:hAnsi="仿宋" w:eastAsia="仿宋"/>
        </w:rPr>
      </w:pPr>
      <w:bookmarkStart w:id="145" w:name="_Toc14992"/>
      <w:r>
        <w:rPr>
          <w:rFonts w:hint="eastAsia" w:ascii="仿宋" w:hAnsi="仿宋" w:eastAsia="仿宋"/>
        </w:rPr>
        <w:t>资格性响应文件</w:t>
      </w:r>
      <w:bookmarkEnd w:id="145"/>
    </w:p>
    <w:p>
      <w:pPr>
        <w:ind w:firstLine="0" w:firstLineChars="0"/>
        <w:rPr>
          <w:b/>
        </w:rPr>
      </w:pPr>
      <w:r>
        <w:rPr>
          <w:b/>
        </w:rPr>
        <w:t>封面</w:t>
      </w:r>
      <w:r>
        <w:rPr>
          <w:rFonts w:hint="eastAsia"/>
          <w:b/>
        </w:rPr>
        <w:t>格式</w:t>
      </w:r>
    </w:p>
    <w:p>
      <w:pPr>
        <w:autoSpaceDE w:val="0"/>
        <w:autoSpaceDN w:val="0"/>
        <w:adjustRightInd w:val="0"/>
        <w:ind w:right="852" w:rightChars="355" w:firstLine="480"/>
        <w:jc w:val="center"/>
        <w:rPr>
          <w:color w:val="000000"/>
          <w:kern w:val="0"/>
          <w:sz w:val="84"/>
          <w:szCs w:val="84"/>
        </w:rPr>
      </w:pPr>
      <w:r>
        <mc:AlternateContent>
          <mc:Choice Requires="wps">
            <w:drawing>
              <wp:anchor distT="0" distB="0" distL="114300" distR="114300" simplePos="0" relativeHeight="251660288" behindDoc="0" locked="0" layoutInCell="1" allowOverlap="1">
                <wp:simplePos x="0" y="0"/>
                <wp:positionH relativeFrom="margin">
                  <wp:posOffset>4229100</wp:posOffset>
                </wp:positionH>
                <wp:positionV relativeFrom="paragraph">
                  <wp:posOffset>13335</wp:posOffset>
                </wp:positionV>
                <wp:extent cx="1246505" cy="500380"/>
                <wp:effectExtent l="0" t="0" r="11430" b="14605"/>
                <wp:wrapNone/>
                <wp:docPr id="14" name="矩形 11"/>
                <wp:cNvGraphicFramePr/>
                <a:graphic xmlns:a="http://schemas.openxmlformats.org/drawingml/2006/main">
                  <a:graphicData uri="http://schemas.microsoft.com/office/word/2010/wordprocessingShape">
                    <wps:wsp>
                      <wps:cNvSpPr>
                        <a:spLocks noChangeArrowheads="1"/>
                      </wps:cNvSpPr>
                      <wps:spPr bwMode="auto">
                        <a:xfrm>
                          <a:off x="0" y="0"/>
                          <a:ext cx="1246336" cy="500120"/>
                        </a:xfrm>
                        <a:prstGeom prst="rect">
                          <a:avLst/>
                        </a:prstGeom>
                        <a:solidFill>
                          <a:srgbClr val="FFFFFF"/>
                        </a:solidFill>
                        <a:ln w="9525">
                          <a:solidFill>
                            <a:srgbClr val="000000"/>
                          </a:solidFill>
                          <a:miter lim="800000"/>
                        </a:ln>
                      </wps:spPr>
                      <wps:txbx>
                        <w:txbxContent>
                          <w:p>
                            <w:pPr>
                              <w:ind w:right="240" w:firstLine="0" w:firstLineChars="0"/>
                              <w:jc w:val="center"/>
                              <w:rPr>
                                <w:b/>
                                <w:sz w:val="28"/>
                                <w:szCs w:val="28"/>
                              </w:rPr>
                            </w:pPr>
                            <w:r>
                              <w:rPr>
                                <w:rFonts w:hint="eastAsia"/>
                                <w:b/>
                                <w:sz w:val="28"/>
                                <w:szCs w:val="28"/>
                              </w:rPr>
                              <w:t>正本或副本</w:t>
                            </w:r>
                          </w:p>
                        </w:txbxContent>
                      </wps:txbx>
                      <wps:bodyPr rot="0" vert="horz" wrap="square" lIns="91440" tIns="45720" rIns="91440" bIns="45720" anchor="t" anchorCtr="0" upright="1">
                        <a:noAutofit/>
                      </wps:bodyPr>
                    </wps:wsp>
                  </a:graphicData>
                </a:graphic>
              </wp:anchor>
            </w:drawing>
          </mc:Choice>
          <mc:Fallback>
            <w:pict>
              <v:rect id="矩形 11" o:spid="_x0000_s1026" o:spt="1" style="position:absolute;left:0pt;margin-left:333pt;margin-top:1.05pt;height:39.4pt;width:98.15pt;mso-position-horizontal-relative:margin;z-index:251660288;mso-width-relative:page;mso-height-relative:page;" fillcolor="#FFFFFF" filled="t" stroked="t" coordsize="21600,21600" o:gfxdata="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5SqQNcAAAAIAQAADwAAAAAAAAABACAAAAAiAAAAZHJzL2Rv&#10;d25yZXYueG1sUEsBAhQAFAAAAAgAh07iQMWAaYw7AgAAfAQAAA4AAAAAAAAAAQAgAAAAJgEAAGRy&#10;cy9lMm9Eb2MueG1sUEsFBgAAAAAGAAYAWQEAANMFAAAAAA==&#10;">
                <v:fill on="t" focussize="0,0"/>
                <v:stroke color="#000000" miterlimit="8" joinstyle="miter"/>
                <v:imagedata o:title=""/>
                <o:lock v:ext="edit" aspectratio="f"/>
                <v:textbox>
                  <w:txbxContent>
                    <w:p>
                      <w:pPr>
                        <w:ind w:right="240" w:firstLine="0" w:firstLineChars="0"/>
                        <w:jc w:val="center"/>
                        <w:rPr>
                          <w:b/>
                          <w:sz w:val="28"/>
                          <w:szCs w:val="28"/>
                        </w:rPr>
                      </w:pPr>
                      <w:r>
                        <w:rPr>
                          <w:rFonts w:hint="eastAsia"/>
                          <w:b/>
                          <w:sz w:val="28"/>
                          <w:szCs w:val="28"/>
                        </w:rPr>
                        <w:t>正本或副本</w:t>
                      </w:r>
                    </w:p>
                  </w:txbxContent>
                </v:textbox>
              </v:rect>
            </w:pict>
          </mc:Fallback>
        </mc:AlternateContent>
      </w:r>
    </w:p>
    <w:p>
      <w:pPr>
        <w:autoSpaceDE w:val="0"/>
        <w:autoSpaceDN w:val="0"/>
        <w:adjustRightInd w:val="0"/>
        <w:ind w:right="852" w:rightChars="355" w:firstLine="0" w:firstLineChars="0"/>
        <w:jc w:val="center"/>
        <w:rPr>
          <w:b/>
          <w:bCs/>
          <w:color w:val="000000"/>
          <w:kern w:val="0"/>
          <w:sz w:val="72"/>
          <w:szCs w:val="94"/>
        </w:rPr>
      </w:pPr>
    </w:p>
    <w:p>
      <w:pPr>
        <w:autoSpaceDE w:val="0"/>
        <w:autoSpaceDN w:val="0"/>
        <w:adjustRightInd w:val="0"/>
        <w:ind w:right="852" w:rightChars="355" w:firstLine="0" w:firstLineChars="0"/>
        <w:jc w:val="center"/>
        <w:rPr>
          <w:color w:val="000000"/>
          <w:kern w:val="0"/>
          <w:sz w:val="72"/>
          <w:szCs w:val="94"/>
        </w:rPr>
      </w:pPr>
      <w:r>
        <w:rPr>
          <w:rFonts w:hint="eastAsia"/>
          <w:b/>
          <w:bCs/>
          <w:color w:val="000000"/>
          <w:kern w:val="0"/>
          <w:sz w:val="72"/>
          <w:szCs w:val="94"/>
        </w:rPr>
        <w:t>资格性响应文件</w:t>
      </w:r>
    </w:p>
    <w:p>
      <w:pPr>
        <w:autoSpaceDE w:val="0"/>
        <w:autoSpaceDN w:val="0"/>
        <w:adjustRightInd w:val="0"/>
        <w:ind w:right="852" w:rightChars="355" w:firstLine="640"/>
        <w:jc w:val="center"/>
        <w:rPr>
          <w:color w:val="000000"/>
          <w:kern w:val="0"/>
          <w:sz w:val="32"/>
          <w:szCs w:val="36"/>
        </w:rPr>
      </w:pPr>
    </w:p>
    <w:p>
      <w:pPr>
        <w:autoSpaceDE w:val="0"/>
        <w:autoSpaceDN w:val="0"/>
        <w:adjustRightInd w:val="0"/>
        <w:ind w:right="852" w:rightChars="355" w:firstLine="640"/>
        <w:jc w:val="center"/>
        <w:rPr>
          <w:color w:val="000000"/>
          <w:kern w:val="0"/>
          <w:sz w:val="32"/>
          <w:szCs w:val="36"/>
        </w:rPr>
      </w:pPr>
    </w:p>
    <w:p>
      <w:pPr>
        <w:autoSpaceDE w:val="0"/>
        <w:autoSpaceDN w:val="0"/>
        <w:adjustRightInd w:val="0"/>
        <w:ind w:right="852" w:rightChars="355" w:firstLine="720"/>
        <w:rPr>
          <w:color w:val="000000"/>
          <w:kern w:val="0"/>
          <w:sz w:val="36"/>
          <w:szCs w:val="36"/>
        </w:rPr>
      </w:pPr>
    </w:p>
    <w:p>
      <w:pPr>
        <w:autoSpaceDE w:val="0"/>
        <w:autoSpaceDN w:val="0"/>
        <w:adjustRightInd w:val="0"/>
        <w:spacing w:line="480" w:lineRule="auto"/>
        <w:ind w:right="852" w:rightChars="355" w:firstLine="720"/>
        <w:rPr>
          <w:color w:val="000000"/>
          <w:kern w:val="0"/>
          <w:sz w:val="36"/>
          <w:szCs w:val="36"/>
          <w:u w:val="single"/>
        </w:rPr>
      </w:pPr>
      <w:r>
        <w:rPr>
          <w:color w:val="000000"/>
          <w:kern w:val="0"/>
          <w:sz w:val="36"/>
          <w:szCs w:val="36"/>
        </w:rPr>
        <w:t>项目</w:t>
      </w:r>
      <w:r>
        <w:rPr>
          <w:rFonts w:hint="eastAsia"/>
          <w:color w:val="000000"/>
          <w:kern w:val="0"/>
          <w:sz w:val="36"/>
          <w:szCs w:val="36"/>
        </w:rPr>
        <w:t>名称</w:t>
      </w:r>
      <w:r>
        <w:rPr>
          <w:color w:val="000000"/>
          <w:kern w:val="0"/>
          <w:sz w:val="36"/>
          <w:szCs w:val="36"/>
        </w:rPr>
        <w:t>：</w:t>
      </w:r>
      <w:r>
        <w:rPr>
          <w:rFonts w:hint="eastAsia"/>
          <w:color w:val="000000"/>
          <w:kern w:val="0"/>
          <w:sz w:val="36"/>
          <w:szCs w:val="36"/>
          <w:u w:val="single"/>
        </w:rPr>
        <w:t xml:space="preserve">                         </w:t>
      </w:r>
    </w:p>
    <w:p>
      <w:pPr>
        <w:autoSpaceDE w:val="0"/>
        <w:autoSpaceDN w:val="0"/>
        <w:adjustRightInd w:val="0"/>
        <w:spacing w:line="480" w:lineRule="auto"/>
        <w:ind w:right="852" w:rightChars="355" w:firstLine="720"/>
        <w:rPr>
          <w:color w:val="000000"/>
          <w:kern w:val="0"/>
          <w:sz w:val="36"/>
          <w:szCs w:val="36"/>
          <w:u w:val="single"/>
        </w:rPr>
      </w:pPr>
      <w:r>
        <w:rPr>
          <w:rFonts w:hint="eastAsia"/>
          <w:color w:val="000000"/>
          <w:kern w:val="0"/>
          <w:sz w:val="36"/>
          <w:szCs w:val="36"/>
        </w:rPr>
        <w:t>供应商名称</w:t>
      </w:r>
      <w:r>
        <w:rPr>
          <w:color w:val="000000"/>
          <w:kern w:val="0"/>
          <w:sz w:val="36"/>
          <w:szCs w:val="36"/>
        </w:rPr>
        <w:t>：</w:t>
      </w:r>
      <w:r>
        <w:rPr>
          <w:rFonts w:hint="eastAsia"/>
          <w:color w:val="000000"/>
          <w:kern w:val="0"/>
          <w:sz w:val="36"/>
          <w:szCs w:val="36"/>
          <w:u w:val="single"/>
        </w:rPr>
        <w:t xml:space="preserve">                       </w:t>
      </w:r>
    </w:p>
    <w:p>
      <w:pPr>
        <w:ind w:right="240" w:firstLine="720"/>
        <w:jc w:val="center"/>
        <w:rPr>
          <w:color w:val="000000"/>
          <w:kern w:val="0"/>
          <w:sz w:val="36"/>
          <w:szCs w:val="36"/>
        </w:rPr>
      </w:pPr>
    </w:p>
    <w:p>
      <w:pPr>
        <w:ind w:right="240" w:firstLine="720"/>
        <w:jc w:val="center"/>
        <w:rPr>
          <w:color w:val="000000"/>
          <w:kern w:val="0"/>
          <w:sz w:val="36"/>
          <w:szCs w:val="36"/>
        </w:rPr>
      </w:pPr>
    </w:p>
    <w:p>
      <w:pPr>
        <w:ind w:right="240" w:firstLine="720"/>
        <w:jc w:val="center"/>
        <w:rPr>
          <w:color w:val="000000"/>
          <w:kern w:val="0"/>
          <w:sz w:val="36"/>
          <w:szCs w:val="36"/>
        </w:rPr>
      </w:pPr>
    </w:p>
    <w:p>
      <w:pPr>
        <w:ind w:right="240" w:firstLine="720"/>
        <w:jc w:val="center"/>
        <w:rPr>
          <w:color w:val="000000"/>
          <w:kern w:val="0"/>
          <w:sz w:val="36"/>
          <w:szCs w:val="36"/>
        </w:rPr>
      </w:pPr>
    </w:p>
    <w:p>
      <w:pPr>
        <w:ind w:right="240" w:firstLine="720"/>
        <w:jc w:val="center"/>
        <w:rPr>
          <w:color w:val="000000"/>
          <w:kern w:val="0"/>
          <w:sz w:val="36"/>
          <w:szCs w:val="36"/>
        </w:rPr>
      </w:pPr>
      <w:r>
        <w:rPr>
          <w:color w:val="000000"/>
          <w:kern w:val="0"/>
          <w:sz w:val="36"/>
          <w:szCs w:val="36"/>
        </w:rPr>
        <w:t xml:space="preserve">日期：   年   </w:t>
      </w:r>
      <w:r>
        <w:rPr>
          <w:rFonts w:hint="eastAsia"/>
          <w:color w:val="000000"/>
          <w:kern w:val="0"/>
          <w:sz w:val="36"/>
          <w:szCs w:val="36"/>
        </w:rPr>
        <w:t xml:space="preserve"> </w:t>
      </w:r>
      <w:r>
        <w:rPr>
          <w:color w:val="000000"/>
          <w:kern w:val="0"/>
          <w:sz w:val="36"/>
          <w:szCs w:val="36"/>
        </w:rPr>
        <w:t>月    日</w:t>
      </w:r>
    </w:p>
    <w:p>
      <w:pPr>
        <w:pStyle w:val="51"/>
      </w:pPr>
    </w:p>
    <w:p>
      <w:pPr>
        <w:pStyle w:val="51"/>
      </w:pPr>
    </w:p>
    <w:p>
      <w:pPr>
        <w:widowControl/>
        <w:spacing w:line="240" w:lineRule="auto"/>
        <w:ind w:firstLine="0" w:firstLineChars="0"/>
        <w:jc w:val="left"/>
        <w:rPr>
          <w:b/>
          <w:bCs/>
          <w:szCs w:val="32"/>
        </w:rPr>
      </w:pPr>
      <w:bookmarkStart w:id="146" w:name="_Toc88748253"/>
      <w:bookmarkStart w:id="147" w:name="_Toc91071122"/>
      <w:bookmarkStart w:id="148" w:name="_Toc87641196"/>
      <w:r>
        <w:br w:type="page"/>
      </w:r>
    </w:p>
    <w:p>
      <w:pPr>
        <w:pStyle w:val="5"/>
      </w:pPr>
      <w:r>
        <w:rPr>
          <w:rFonts w:hint="eastAsia"/>
        </w:rPr>
        <w:t>资格承诺函格式</w:t>
      </w:r>
      <w:bookmarkEnd w:id="146"/>
      <w:bookmarkEnd w:id="147"/>
      <w:bookmarkEnd w:id="148"/>
    </w:p>
    <w:p>
      <w:pPr>
        <w:ind w:firstLine="480"/>
        <w:jc w:val="center"/>
      </w:pPr>
      <w:r>
        <w:rPr>
          <w:rFonts w:hint="eastAsia"/>
        </w:rPr>
        <w:t>承诺函</w:t>
      </w:r>
    </w:p>
    <w:p>
      <w:pPr>
        <w:ind w:right="240" w:firstLine="0" w:firstLineChars="0"/>
      </w:pPr>
      <w:r>
        <w:rPr>
          <w:rFonts w:hint="eastAsia"/>
          <w:u w:val="single"/>
        </w:rPr>
        <w:t>四川省农村科技发展中心</w:t>
      </w:r>
      <w:r>
        <w:rPr>
          <w:rFonts w:hint="eastAsia"/>
        </w:rPr>
        <w:t>：</w:t>
      </w:r>
    </w:p>
    <w:p>
      <w:pPr>
        <w:ind w:right="240" w:firstLine="480"/>
      </w:pPr>
      <w:r>
        <w:rPr>
          <w:rFonts w:hint="eastAsia"/>
        </w:rPr>
        <w:t>我公司作为本次参与采购项目的供应商，已认真阅读并理解本项目第三章供应商资格条件及证明材料要求的规定，现郑重承诺如下事项：</w:t>
      </w:r>
    </w:p>
    <w:p>
      <w:pPr>
        <w:pStyle w:val="63"/>
        <w:numPr>
          <w:ilvl w:val="0"/>
          <w:numId w:val="14"/>
        </w:numPr>
        <w:spacing w:line="276" w:lineRule="auto"/>
        <w:ind w:right="240" w:firstLine="424" w:firstLineChars="177"/>
      </w:pPr>
      <w:r>
        <w:rPr>
          <w:rFonts w:hint="eastAsia"/>
        </w:rPr>
        <w:t>具有独立承担民事责任的能力；</w:t>
      </w:r>
    </w:p>
    <w:p>
      <w:pPr>
        <w:pStyle w:val="63"/>
        <w:numPr>
          <w:ilvl w:val="0"/>
          <w:numId w:val="14"/>
        </w:numPr>
        <w:spacing w:line="276" w:lineRule="auto"/>
        <w:ind w:right="-57" w:firstLine="424" w:firstLineChars="177"/>
      </w:pPr>
      <w:r>
        <w:rPr>
          <w:rFonts w:hint="eastAsia"/>
        </w:rPr>
        <w:t>具有良好的商业信誉和健全的财务会计制度；</w:t>
      </w:r>
      <w:r>
        <w:t xml:space="preserve"> </w:t>
      </w:r>
    </w:p>
    <w:p>
      <w:pPr>
        <w:pStyle w:val="63"/>
        <w:numPr>
          <w:ilvl w:val="0"/>
          <w:numId w:val="14"/>
        </w:numPr>
        <w:spacing w:line="276" w:lineRule="auto"/>
        <w:ind w:right="240" w:firstLine="424" w:firstLineChars="177"/>
      </w:pPr>
      <w:r>
        <w:rPr>
          <w:rFonts w:hint="eastAsia"/>
        </w:rPr>
        <w:t>具有履行合同所必需的设备和专业技术能力；</w:t>
      </w:r>
    </w:p>
    <w:p>
      <w:pPr>
        <w:pStyle w:val="63"/>
        <w:numPr>
          <w:ilvl w:val="0"/>
          <w:numId w:val="14"/>
        </w:numPr>
        <w:spacing w:line="276" w:lineRule="auto"/>
        <w:ind w:right="240" w:firstLine="424" w:firstLineChars="177"/>
      </w:pPr>
      <w:r>
        <w:rPr>
          <w:rFonts w:hint="eastAsia"/>
        </w:rPr>
        <w:t>有依法缴纳税收和社会保障资金的良好记录；</w:t>
      </w:r>
    </w:p>
    <w:p>
      <w:pPr>
        <w:pStyle w:val="51"/>
        <w:numPr>
          <w:ilvl w:val="0"/>
          <w:numId w:val="14"/>
        </w:numPr>
        <w:ind w:firstLine="424" w:firstLineChars="177"/>
      </w:pPr>
      <w:r>
        <w:rPr>
          <w:rFonts w:hint="eastAsia"/>
        </w:rPr>
        <w:t>参加采购活动前三年内，在经营活动中没有重大违法记录；（重大违法记录指因违法经营受到刑事处罚或者责令停产停业、吊销许可证或者执照、较大数额罚款等行政处罚，同时，我单位知晓所在行业对于较大数额罚款的规定。）</w:t>
      </w:r>
    </w:p>
    <w:p>
      <w:pPr>
        <w:pStyle w:val="63"/>
        <w:numPr>
          <w:ilvl w:val="0"/>
          <w:numId w:val="14"/>
        </w:numPr>
        <w:spacing w:line="276" w:lineRule="auto"/>
        <w:ind w:right="240" w:firstLine="424" w:firstLineChars="177"/>
      </w:pPr>
      <w:r>
        <w:rPr>
          <w:rFonts w:hint="eastAsia"/>
        </w:rPr>
        <w:t>满足法律、行政法规规定的其他条件；</w:t>
      </w:r>
    </w:p>
    <w:p>
      <w:pPr>
        <w:pStyle w:val="63"/>
        <w:numPr>
          <w:ilvl w:val="0"/>
          <w:numId w:val="14"/>
        </w:numPr>
        <w:spacing w:line="276" w:lineRule="auto"/>
        <w:ind w:right="240" w:firstLine="424" w:firstLineChars="177"/>
      </w:pPr>
      <w:r>
        <w:rPr>
          <w:rFonts w:hint="eastAsia"/>
        </w:rPr>
        <w:t>满足根据采购项目提出的特定条件</w:t>
      </w:r>
      <w:r>
        <w:t>。</w:t>
      </w:r>
    </w:p>
    <w:p>
      <w:pPr>
        <w:ind w:right="240" w:firstLine="480"/>
      </w:pPr>
      <w:r>
        <w:rPr>
          <w:rFonts w:hint="eastAsia"/>
        </w:rPr>
        <w:t xml:space="preserve">本公司对上述承诺的内容事项真实性负责。如经查实上述承诺的内容事项存在虚假，我公司愿意接受以提供虚假材料谋取成交追究法律责任。 </w:t>
      </w:r>
    </w:p>
    <w:p>
      <w:pPr>
        <w:ind w:right="240" w:firstLine="480"/>
      </w:pPr>
    </w:p>
    <w:p>
      <w:pPr>
        <w:ind w:right="240" w:firstLine="480"/>
      </w:pPr>
      <w:r>
        <w:rPr>
          <w:rFonts w:hint="eastAsia"/>
        </w:rPr>
        <w:t>供应商名称：XXXX（单位公章）。</w:t>
      </w:r>
    </w:p>
    <w:p>
      <w:pPr>
        <w:ind w:right="240" w:firstLine="480"/>
      </w:pPr>
      <w:r>
        <w:rPr>
          <w:rFonts w:hint="eastAsia"/>
        </w:rPr>
        <w:t>法定代表人或授权代表（签字或加盖个人名章）：XXXX。</w:t>
      </w:r>
    </w:p>
    <w:p>
      <w:pPr>
        <w:ind w:right="240" w:firstLine="480"/>
      </w:pPr>
      <w:r>
        <w:rPr>
          <w:rFonts w:hint="eastAsia"/>
        </w:rPr>
        <w:t>日    期：XXXX。</w:t>
      </w:r>
    </w:p>
    <w:p>
      <w:pPr>
        <w:widowControl/>
        <w:spacing w:line="240" w:lineRule="auto"/>
        <w:ind w:firstLine="0" w:firstLineChars="0"/>
        <w:jc w:val="left"/>
      </w:pPr>
      <w:r>
        <w:br w:type="page"/>
      </w:r>
    </w:p>
    <w:p>
      <w:pPr>
        <w:pStyle w:val="5"/>
      </w:pPr>
      <w:bookmarkStart w:id="149" w:name="_Toc88748261"/>
      <w:bookmarkStart w:id="150" w:name="_Toc87641201"/>
      <w:bookmarkStart w:id="151" w:name="_Toc91071124"/>
      <w:r>
        <w:rPr>
          <w:rFonts w:hint="eastAsia"/>
        </w:rPr>
        <w:t>供应商应当提供的资格证明材料</w:t>
      </w:r>
      <w:bookmarkEnd w:id="149"/>
      <w:bookmarkEnd w:id="150"/>
      <w:bookmarkEnd w:id="151"/>
    </w:p>
    <w:p>
      <w:pPr>
        <w:ind w:firstLine="480"/>
      </w:pPr>
      <w:r>
        <w:rPr>
          <w:rFonts w:hint="eastAsia"/>
        </w:rPr>
        <w:t>供应商应按本文件“第三章</w:t>
      </w:r>
      <w:r>
        <w:t xml:space="preserve"> 供应商资格条件要求及证明材料”中的要求逐项提供证明文件</w:t>
      </w:r>
      <w:r>
        <w:rPr>
          <w:rFonts w:hint="eastAsia"/>
        </w:rPr>
        <w:t>，</w:t>
      </w:r>
      <w:r>
        <w:t>格式自拟。</w:t>
      </w:r>
    </w:p>
    <w:p>
      <w:pPr>
        <w:ind w:firstLine="0" w:firstLineChars="0"/>
      </w:pPr>
    </w:p>
    <w:p>
      <w:pPr>
        <w:ind w:firstLine="0" w:firstLineChars="0"/>
      </w:pPr>
    </w:p>
    <w:p>
      <w:pPr>
        <w:ind w:firstLine="0" w:firstLineChars="0"/>
      </w:pPr>
    </w:p>
    <w:p>
      <w:pPr>
        <w:ind w:firstLine="0" w:firstLineChars="0"/>
      </w:pPr>
    </w:p>
    <w:p>
      <w:pPr>
        <w:widowControl/>
        <w:spacing w:line="240" w:lineRule="auto"/>
        <w:ind w:firstLine="0" w:firstLineChars="0"/>
        <w:jc w:val="left"/>
      </w:pPr>
      <w:r>
        <w:br w:type="page"/>
      </w:r>
    </w:p>
    <w:p>
      <w:pPr>
        <w:pStyle w:val="5"/>
      </w:pPr>
      <w:bookmarkStart w:id="152" w:name="_Toc91071125"/>
      <w:bookmarkStart w:id="153" w:name="_Toc87641202"/>
      <w:bookmarkStart w:id="154" w:name="_Toc88748262"/>
      <w:r>
        <w:rPr>
          <w:rFonts w:hint="eastAsia"/>
        </w:rPr>
        <w:t>供应商应当提供的其他证明资料</w:t>
      </w:r>
      <w:bookmarkEnd w:id="152"/>
      <w:bookmarkEnd w:id="153"/>
      <w:bookmarkEnd w:id="154"/>
    </w:p>
    <w:p>
      <w:pPr>
        <w:ind w:firstLine="480"/>
      </w:pPr>
      <w:r>
        <w:rPr>
          <w:rFonts w:hint="eastAsia"/>
        </w:rPr>
        <w:t>供应商按照本文件的要求或根据自身情况作出的其他响应，格式自行拟制。</w:t>
      </w:r>
    </w:p>
    <w:p>
      <w:pPr>
        <w:widowControl/>
        <w:spacing w:line="240" w:lineRule="auto"/>
        <w:ind w:firstLine="0" w:firstLineChars="0"/>
        <w:jc w:val="left"/>
      </w:pPr>
      <w:r>
        <w:br w:type="page"/>
      </w:r>
    </w:p>
    <w:p>
      <w:pPr>
        <w:pStyle w:val="61"/>
        <w:rPr>
          <w:rFonts w:ascii="仿宋" w:hAnsi="仿宋" w:eastAsia="仿宋"/>
        </w:rPr>
      </w:pPr>
      <w:bookmarkStart w:id="155" w:name="_Toc698"/>
      <w:r>
        <w:rPr>
          <w:rFonts w:hint="eastAsia" w:ascii="仿宋" w:hAnsi="仿宋" w:eastAsia="仿宋"/>
        </w:rPr>
        <w:t>其他响应文件格式</w:t>
      </w:r>
      <w:bookmarkEnd w:id="155"/>
    </w:p>
    <w:p>
      <w:pPr>
        <w:ind w:firstLine="0" w:firstLineChars="0"/>
        <w:rPr>
          <w:b/>
        </w:rPr>
      </w:pPr>
      <w:r>
        <w:rPr>
          <w:b/>
        </w:rPr>
        <w:t>封面</w:t>
      </w:r>
      <w:r>
        <w:rPr>
          <w:rFonts w:hint="eastAsia"/>
          <w:b/>
        </w:rPr>
        <w:t>格式</w:t>
      </w:r>
    </w:p>
    <w:p>
      <w:pPr>
        <w:autoSpaceDE w:val="0"/>
        <w:autoSpaceDN w:val="0"/>
        <w:adjustRightInd w:val="0"/>
        <w:ind w:right="852" w:rightChars="355" w:firstLine="480"/>
        <w:jc w:val="center"/>
        <w:rPr>
          <w:color w:val="000000"/>
          <w:kern w:val="0"/>
          <w:sz w:val="84"/>
          <w:szCs w:val="84"/>
        </w:rPr>
      </w:pPr>
      <w:r>
        <mc:AlternateContent>
          <mc:Choice Requires="wps">
            <w:drawing>
              <wp:anchor distT="0" distB="0" distL="114300" distR="114300" simplePos="0" relativeHeight="251661312" behindDoc="0" locked="0" layoutInCell="1" allowOverlap="1">
                <wp:simplePos x="0" y="0"/>
                <wp:positionH relativeFrom="margin">
                  <wp:posOffset>4229100</wp:posOffset>
                </wp:positionH>
                <wp:positionV relativeFrom="paragraph">
                  <wp:posOffset>13335</wp:posOffset>
                </wp:positionV>
                <wp:extent cx="1246505" cy="500380"/>
                <wp:effectExtent l="0" t="0" r="11430" b="14605"/>
                <wp:wrapNone/>
                <wp:docPr id="1" name="矩形 11"/>
                <wp:cNvGraphicFramePr/>
                <a:graphic xmlns:a="http://schemas.openxmlformats.org/drawingml/2006/main">
                  <a:graphicData uri="http://schemas.microsoft.com/office/word/2010/wordprocessingShape">
                    <wps:wsp>
                      <wps:cNvSpPr>
                        <a:spLocks noChangeArrowheads="1"/>
                      </wps:cNvSpPr>
                      <wps:spPr bwMode="auto">
                        <a:xfrm>
                          <a:off x="0" y="0"/>
                          <a:ext cx="1246336" cy="500120"/>
                        </a:xfrm>
                        <a:prstGeom prst="rect">
                          <a:avLst/>
                        </a:prstGeom>
                        <a:solidFill>
                          <a:srgbClr val="FFFFFF"/>
                        </a:solidFill>
                        <a:ln w="9525">
                          <a:solidFill>
                            <a:srgbClr val="000000"/>
                          </a:solidFill>
                          <a:miter lim="800000"/>
                        </a:ln>
                      </wps:spPr>
                      <wps:txbx>
                        <w:txbxContent>
                          <w:p>
                            <w:pPr>
                              <w:ind w:right="240" w:firstLine="0" w:firstLineChars="0"/>
                              <w:jc w:val="center"/>
                              <w:rPr>
                                <w:b/>
                                <w:sz w:val="28"/>
                                <w:szCs w:val="28"/>
                              </w:rPr>
                            </w:pPr>
                            <w:r>
                              <w:rPr>
                                <w:rFonts w:hint="eastAsia"/>
                                <w:b/>
                                <w:sz w:val="28"/>
                                <w:szCs w:val="28"/>
                              </w:rPr>
                              <w:t>正本或副本</w:t>
                            </w:r>
                          </w:p>
                        </w:txbxContent>
                      </wps:txbx>
                      <wps:bodyPr rot="0" vert="horz" wrap="square" lIns="91440" tIns="45720" rIns="91440" bIns="45720" anchor="t" anchorCtr="0" upright="1">
                        <a:noAutofit/>
                      </wps:bodyPr>
                    </wps:wsp>
                  </a:graphicData>
                </a:graphic>
              </wp:anchor>
            </w:drawing>
          </mc:Choice>
          <mc:Fallback>
            <w:pict>
              <v:rect id="矩形 11" o:spid="_x0000_s1026" o:spt="1" style="position:absolute;left:0pt;margin-left:333pt;margin-top:1.05pt;height:39.4pt;width:98.15pt;mso-position-horizontal-relative:margin;z-index:251661312;mso-width-relative:page;mso-height-relative:page;" fillcolor="#FFFFFF" filled="t" stroked="t" coordsize="21600,21600" o:gfxdata="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TlKpA1wAAAAgBAAAPAAAAAAAAAAEAIAAAACIAAABkcnMvZG93&#10;bnJldi54bWxQSwECFAAUAAAACACHTuJAXhWcsjoCAAB7BAAADgAAAAAAAAABACAAAAAmAQAAZHJz&#10;L2Uyb0RvYy54bWxQSwUGAAAAAAYABgBZAQAA0gUAAAAA&#10;">
                <v:fill on="t" focussize="0,0"/>
                <v:stroke color="#000000" miterlimit="8" joinstyle="miter"/>
                <v:imagedata o:title=""/>
                <o:lock v:ext="edit" aspectratio="f"/>
                <v:textbox>
                  <w:txbxContent>
                    <w:p>
                      <w:pPr>
                        <w:ind w:right="240" w:firstLine="0" w:firstLineChars="0"/>
                        <w:jc w:val="center"/>
                        <w:rPr>
                          <w:b/>
                          <w:sz w:val="28"/>
                          <w:szCs w:val="28"/>
                        </w:rPr>
                      </w:pPr>
                      <w:r>
                        <w:rPr>
                          <w:rFonts w:hint="eastAsia"/>
                          <w:b/>
                          <w:sz w:val="28"/>
                          <w:szCs w:val="28"/>
                        </w:rPr>
                        <w:t>正本或副本</w:t>
                      </w:r>
                    </w:p>
                  </w:txbxContent>
                </v:textbox>
              </v:rect>
            </w:pict>
          </mc:Fallback>
        </mc:AlternateContent>
      </w:r>
    </w:p>
    <w:p>
      <w:pPr>
        <w:autoSpaceDE w:val="0"/>
        <w:autoSpaceDN w:val="0"/>
        <w:adjustRightInd w:val="0"/>
        <w:ind w:right="852" w:rightChars="355" w:firstLine="0" w:firstLineChars="0"/>
        <w:jc w:val="center"/>
        <w:rPr>
          <w:b/>
          <w:bCs/>
          <w:color w:val="000000"/>
          <w:kern w:val="0"/>
          <w:sz w:val="72"/>
          <w:szCs w:val="94"/>
        </w:rPr>
      </w:pPr>
    </w:p>
    <w:p>
      <w:pPr>
        <w:autoSpaceDE w:val="0"/>
        <w:autoSpaceDN w:val="0"/>
        <w:adjustRightInd w:val="0"/>
        <w:ind w:right="852" w:rightChars="355" w:firstLine="0" w:firstLineChars="0"/>
        <w:jc w:val="center"/>
        <w:rPr>
          <w:color w:val="000000"/>
          <w:kern w:val="0"/>
          <w:sz w:val="72"/>
          <w:szCs w:val="94"/>
        </w:rPr>
      </w:pPr>
      <w:r>
        <w:rPr>
          <w:rFonts w:hint="eastAsia"/>
          <w:b/>
          <w:bCs/>
          <w:color w:val="000000"/>
          <w:kern w:val="0"/>
          <w:sz w:val="72"/>
          <w:szCs w:val="94"/>
        </w:rPr>
        <w:t>其他响应文件</w:t>
      </w:r>
    </w:p>
    <w:p>
      <w:pPr>
        <w:autoSpaceDE w:val="0"/>
        <w:autoSpaceDN w:val="0"/>
        <w:adjustRightInd w:val="0"/>
        <w:ind w:right="852" w:rightChars="355" w:firstLine="640"/>
        <w:jc w:val="center"/>
        <w:rPr>
          <w:color w:val="000000"/>
          <w:kern w:val="0"/>
          <w:sz w:val="32"/>
          <w:szCs w:val="36"/>
        </w:rPr>
      </w:pPr>
    </w:p>
    <w:p>
      <w:pPr>
        <w:autoSpaceDE w:val="0"/>
        <w:autoSpaceDN w:val="0"/>
        <w:adjustRightInd w:val="0"/>
        <w:ind w:right="852" w:rightChars="355" w:firstLine="640"/>
        <w:jc w:val="center"/>
        <w:rPr>
          <w:color w:val="000000"/>
          <w:kern w:val="0"/>
          <w:sz w:val="32"/>
          <w:szCs w:val="36"/>
        </w:rPr>
      </w:pPr>
    </w:p>
    <w:p>
      <w:pPr>
        <w:autoSpaceDE w:val="0"/>
        <w:autoSpaceDN w:val="0"/>
        <w:adjustRightInd w:val="0"/>
        <w:ind w:right="852" w:rightChars="355" w:firstLine="720"/>
        <w:rPr>
          <w:color w:val="000000"/>
          <w:kern w:val="0"/>
          <w:sz w:val="36"/>
          <w:szCs w:val="36"/>
        </w:rPr>
      </w:pPr>
    </w:p>
    <w:p>
      <w:pPr>
        <w:autoSpaceDE w:val="0"/>
        <w:autoSpaceDN w:val="0"/>
        <w:adjustRightInd w:val="0"/>
        <w:spacing w:line="480" w:lineRule="auto"/>
        <w:ind w:right="852" w:rightChars="355" w:firstLine="720"/>
        <w:rPr>
          <w:color w:val="000000"/>
          <w:kern w:val="0"/>
          <w:sz w:val="36"/>
          <w:szCs w:val="36"/>
          <w:u w:val="single"/>
        </w:rPr>
      </w:pPr>
      <w:r>
        <w:rPr>
          <w:color w:val="000000"/>
          <w:kern w:val="0"/>
          <w:sz w:val="36"/>
          <w:szCs w:val="36"/>
        </w:rPr>
        <w:t>项目</w:t>
      </w:r>
      <w:r>
        <w:rPr>
          <w:rFonts w:hint="eastAsia"/>
          <w:color w:val="000000"/>
          <w:kern w:val="0"/>
          <w:sz w:val="36"/>
          <w:szCs w:val="36"/>
        </w:rPr>
        <w:t>名称</w:t>
      </w:r>
      <w:r>
        <w:rPr>
          <w:color w:val="000000"/>
          <w:kern w:val="0"/>
          <w:sz w:val="36"/>
          <w:szCs w:val="36"/>
        </w:rPr>
        <w:t>：</w:t>
      </w:r>
      <w:r>
        <w:rPr>
          <w:rFonts w:hint="eastAsia"/>
          <w:color w:val="000000"/>
          <w:kern w:val="0"/>
          <w:sz w:val="36"/>
          <w:szCs w:val="36"/>
          <w:u w:val="single"/>
        </w:rPr>
        <w:t xml:space="preserve">                         </w:t>
      </w:r>
    </w:p>
    <w:p>
      <w:pPr>
        <w:autoSpaceDE w:val="0"/>
        <w:autoSpaceDN w:val="0"/>
        <w:adjustRightInd w:val="0"/>
        <w:spacing w:line="480" w:lineRule="auto"/>
        <w:ind w:right="852" w:rightChars="355" w:firstLine="720"/>
        <w:rPr>
          <w:color w:val="000000"/>
          <w:kern w:val="0"/>
          <w:sz w:val="36"/>
          <w:szCs w:val="36"/>
          <w:u w:val="single"/>
        </w:rPr>
      </w:pPr>
      <w:r>
        <w:rPr>
          <w:rFonts w:hint="eastAsia"/>
          <w:color w:val="000000"/>
          <w:kern w:val="0"/>
          <w:sz w:val="36"/>
          <w:szCs w:val="36"/>
        </w:rPr>
        <w:t>供应商名称</w:t>
      </w:r>
      <w:r>
        <w:rPr>
          <w:color w:val="000000"/>
          <w:kern w:val="0"/>
          <w:sz w:val="36"/>
          <w:szCs w:val="36"/>
        </w:rPr>
        <w:t>：</w:t>
      </w:r>
      <w:r>
        <w:rPr>
          <w:rFonts w:hint="eastAsia"/>
          <w:color w:val="000000"/>
          <w:kern w:val="0"/>
          <w:sz w:val="36"/>
          <w:szCs w:val="36"/>
          <w:u w:val="single"/>
        </w:rPr>
        <w:t xml:space="preserve">                       </w:t>
      </w:r>
    </w:p>
    <w:p>
      <w:pPr>
        <w:ind w:right="240" w:firstLine="720"/>
        <w:jc w:val="center"/>
        <w:rPr>
          <w:color w:val="000000"/>
          <w:kern w:val="0"/>
          <w:sz w:val="36"/>
          <w:szCs w:val="36"/>
        </w:rPr>
      </w:pPr>
    </w:p>
    <w:p>
      <w:pPr>
        <w:ind w:right="240" w:firstLine="720"/>
        <w:jc w:val="center"/>
        <w:rPr>
          <w:color w:val="000000"/>
          <w:kern w:val="0"/>
          <w:sz w:val="36"/>
          <w:szCs w:val="36"/>
        </w:rPr>
      </w:pPr>
    </w:p>
    <w:p>
      <w:pPr>
        <w:ind w:right="240" w:firstLine="720"/>
        <w:jc w:val="center"/>
        <w:rPr>
          <w:color w:val="000000"/>
          <w:kern w:val="0"/>
          <w:sz w:val="36"/>
          <w:szCs w:val="36"/>
        </w:rPr>
      </w:pPr>
    </w:p>
    <w:p>
      <w:pPr>
        <w:ind w:right="240" w:firstLine="720"/>
        <w:jc w:val="center"/>
        <w:rPr>
          <w:color w:val="000000"/>
          <w:kern w:val="0"/>
          <w:sz w:val="36"/>
          <w:szCs w:val="36"/>
        </w:rPr>
      </w:pPr>
    </w:p>
    <w:p>
      <w:pPr>
        <w:ind w:firstLine="198" w:firstLineChars="55"/>
        <w:jc w:val="center"/>
        <w:rPr>
          <w:color w:val="000000"/>
          <w:kern w:val="0"/>
          <w:sz w:val="36"/>
          <w:szCs w:val="36"/>
        </w:rPr>
      </w:pPr>
      <w:r>
        <w:rPr>
          <w:color w:val="000000"/>
          <w:kern w:val="0"/>
          <w:sz w:val="36"/>
          <w:szCs w:val="36"/>
        </w:rPr>
        <w:t xml:space="preserve">日期：   年   </w:t>
      </w:r>
      <w:r>
        <w:rPr>
          <w:rFonts w:hint="eastAsia"/>
          <w:color w:val="000000"/>
          <w:kern w:val="0"/>
          <w:sz w:val="36"/>
          <w:szCs w:val="36"/>
        </w:rPr>
        <w:t xml:space="preserve"> </w:t>
      </w:r>
      <w:r>
        <w:rPr>
          <w:color w:val="000000"/>
          <w:kern w:val="0"/>
          <w:sz w:val="36"/>
          <w:szCs w:val="36"/>
        </w:rPr>
        <w:t>月    日</w:t>
      </w:r>
    </w:p>
    <w:p>
      <w:pPr>
        <w:pStyle w:val="51"/>
      </w:pPr>
    </w:p>
    <w:p>
      <w:pPr>
        <w:widowControl/>
        <w:spacing w:line="240" w:lineRule="auto"/>
        <w:ind w:firstLine="0" w:firstLineChars="0"/>
        <w:jc w:val="left"/>
      </w:pPr>
      <w:r>
        <w:br w:type="page"/>
      </w:r>
    </w:p>
    <w:p>
      <w:pPr>
        <w:pStyle w:val="5"/>
        <w:numPr>
          <w:ilvl w:val="2"/>
          <w:numId w:val="15"/>
        </w:numPr>
      </w:pPr>
      <w:bookmarkStart w:id="156" w:name="_Toc88748264"/>
      <w:bookmarkStart w:id="157" w:name="_Toc87641204"/>
      <w:bookmarkStart w:id="158" w:name="_Toc91071127"/>
      <w:r>
        <w:rPr>
          <w:rFonts w:hint="eastAsia"/>
        </w:rPr>
        <w:t>法定代表人授权委托书格式</w:t>
      </w:r>
      <w:bookmarkEnd w:id="156"/>
      <w:bookmarkEnd w:id="157"/>
      <w:bookmarkEnd w:id="158"/>
    </w:p>
    <w:p>
      <w:pPr>
        <w:ind w:right="240" w:firstLine="480"/>
      </w:pPr>
      <w:r>
        <w:rPr>
          <w:rFonts w:hint="eastAsia"/>
        </w:rPr>
        <w:t>供应商根据自身情况在响应文件中提供（1）或（2）。</w:t>
      </w:r>
    </w:p>
    <w:p>
      <w:pPr>
        <w:ind w:right="240" w:firstLine="0" w:firstLineChars="0"/>
        <w:jc w:val="center"/>
        <w:rPr>
          <w:b/>
          <w:sz w:val="30"/>
        </w:rPr>
      </w:pPr>
      <w:bookmarkStart w:id="159" w:name="_Toc217446084"/>
      <w:r>
        <w:rPr>
          <w:rFonts w:hint="eastAsia"/>
          <w:b/>
          <w:sz w:val="30"/>
        </w:rPr>
        <w:t>（1）法定代表人证明</w:t>
      </w:r>
    </w:p>
    <w:p>
      <w:pPr>
        <w:ind w:right="240" w:firstLine="0" w:firstLineChars="0"/>
        <w:jc w:val="center"/>
      </w:pPr>
      <w:r>
        <w:rPr>
          <w:rFonts w:hint="eastAsia"/>
        </w:rPr>
        <w:t>（仅在法定代表人参加竞争性磋商时须提供此证明）</w:t>
      </w:r>
    </w:p>
    <w:p>
      <w:pPr>
        <w:spacing w:line="480" w:lineRule="auto"/>
        <w:ind w:right="240" w:firstLine="480"/>
      </w:pPr>
      <w:r>
        <w:rPr>
          <w:rFonts w:hint="eastAsia"/>
        </w:rPr>
        <w:t>供应商名称：</w:t>
      </w:r>
      <w:r>
        <w:rPr>
          <w:rFonts w:hint="eastAsia"/>
          <w:u w:val="single"/>
        </w:rPr>
        <w:t xml:space="preserve">                                      </w:t>
      </w:r>
    </w:p>
    <w:p>
      <w:pPr>
        <w:spacing w:line="480" w:lineRule="auto"/>
        <w:ind w:right="240" w:firstLine="480"/>
      </w:pPr>
      <w:r>
        <w:rPr>
          <w:rFonts w:hint="eastAsia"/>
        </w:rPr>
        <w:t>注册地址：</w:t>
      </w:r>
      <w:r>
        <w:rPr>
          <w:rFonts w:hint="eastAsia"/>
          <w:u w:val="single"/>
        </w:rPr>
        <w:t xml:space="preserve">                                              </w:t>
      </w:r>
    </w:p>
    <w:p>
      <w:pPr>
        <w:spacing w:line="480" w:lineRule="auto"/>
        <w:ind w:right="240" w:firstLine="480"/>
      </w:pPr>
      <w:r>
        <w:rPr>
          <w:rFonts w:hint="eastAsia"/>
        </w:rPr>
        <w:t>成立时间：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pacing w:line="480" w:lineRule="auto"/>
        <w:ind w:right="240" w:firstLine="480"/>
      </w:pPr>
      <w:r>
        <w:rPr>
          <w:rFonts w:hint="eastAsia"/>
        </w:rPr>
        <w:t>经营期限：</w:t>
      </w:r>
      <w:r>
        <w:rPr>
          <w:rFonts w:hint="eastAsia"/>
          <w:u w:val="single"/>
        </w:rPr>
        <w:t xml:space="preserve">                                </w:t>
      </w:r>
      <w:r>
        <w:rPr>
          <w:rFonts w:hint="eastAsia"/>
        </w:rPr>
        <w:t xml:space="preserve"> </w:t>
      </w:r>
    </w:p>
    <w:p>
      <w:pPr>
        <w:spacing w:line="480" w:lineRule="auto"/>
        <w:ind w:right="240" w:firstLine="480"/>
      </w:pPr>
      <w:r>
        <w:rPr>
          <w:rFonts w:hint="eastAsia"/>
        </w:rPr>
        <w:t>法定代表人相关信息：</w:t>
      </w:r>
    </w:p>
    <w:p>
      <w:pPr>
        <w:spacing w:line="480" w:lineRule="auto"/>
        <w:ind w:right="240" w:firstLine="480"/>
      </w:pPr>
      <w:r>
        <w:rPr>
          <w:rFonts w:hint="eastAsia"/>
        </w:rPr>
        <w:t>姓名：</w:t>
      </w:r>
      <w:r>
        <w:rPr>
          <w:rFonts w:hint="eastAsia"/>
          <w:u w:val="single"/>
        </w:rPr>
        <w:t xml:space="preserve">    </w:t>
      </w:r>
      <w:r>
        <w:rPr>
          <w:u w:val="single"/>
        </w:rPr>
        <w:t xml:space="preserve">  </w:t>
      </w:r>
      <w:r>
        <w:rPr>
          <w:rFonts w:hint="eastAsia"/>
          <w:u w:val="single"/>
        </w:rPr>
        <w:t xml:space="preserve">   </w:t>
      </w:r>
      <w:r>
        <w:rPr>
          <w:rFonts w:hint="eastAsia"/>
        </w:rPr>
        <w:t>性别：</w:t>
      </w:r>
      <w:r>
        <w:rPr>
          <w:rFonts w:hint="eastAsia"/>
          <w:u w:val="single"/>
        </w:rPr>
        <w:t xml:space="preserve">    </w:t>
      </w:r>
      <w:r>
        <w:rPr>
          <w:u w:val="single"/>
        </w:rPr>
        <w:t xml:space="preserve"> </w:t>
      </w:r>
      <w:r>
        <w:rPr>
          <w:rFonts w:hint="eastAsia"/>
          <w:u w:val="single"/>
        </w:rPr>
        <w:t xml:space="preserve">  </w:t>
      </w:r>
      <w:r>
        <w:rPr>
          <w:rFonts w:hint="eastAsia"/>
        </w:rPr>
        <w:t>年龄：</w:t>
      </w:r>
      <w:r>
        <w:rPr>
          <w:rFonts w:hint="eastAsia"/>
          <w:u w:val="single"/>
        </w:rPr>
        <w:t xml:space="preserve">      </w:t>
      </w:r>
      <w:r>
        <w:rPr>
          <w:u w:val="single"/>
        </w:rPr>
        <w:t xml:space="preserve"> </w:t>
      </w:r>
      <w:r>
        <w:rPr>
          <w:rFonts w:hint="eastAsia"/>
          <w:u w:val="single"/>
        </w:rPr>
        <w:t xml:space="preserve">  </w:t>
      </w:r>
      <w:r>
        <w:rPr>
          <w:rFonts w:hint="eastAsia"/>
        </w:rPr>
        <w:t>职务：</w:t>
      </w:r>
      <w:r>
        <w:rPr>
          <w:rFonts w:hint="eastAsia"/>
          <w:u w:val="single"/>
        </w:rPr>
        <w:t xml:space="preserve">   </w:t>
      </w:r>
      <w:r>
        <w:rPr>
          <w:u w:val="single"/>
        </w:rPr>
        <w:t xml:space="preserve"> </w:t>
      </w:r>
      <w:r>
        <w:rPr>
          <w:rFonts w:hint="eastAsia"/>
          <w:u w:val="single"/>
        </w:rPr>
        <w:t xml:space="preserve">    </w:t>
      </w:r>
    </w:p>
    <w:p>
      <w:pPr>
        <w:spacing w:line="480" w:lineRule="auto"/>
        <w:ind w:right="240" w:firstLine="480"/>
        <w:rPr>
          <w:u w:val="single"/>
        </w:rPr>
      </w:pPr>
      <w:r>
        <w:rPr>
          <w:rFonts w:hint="eastAsia"/>
        </w:rPr>
        <w:t>身份证号码：</w:t>
      </w:r>
      <w:r>
        <w:rPr>
          <w:rFonts w:hint="eastAsia"/>
          <w:u w:val="single"/>
        </w:rPr>
        <w:t xml:space="preserve">         </w:t>
      </w:r>
      <w:r>
        <w:rPr>
          <w:u w:val="single"/>
        </w:rPr>
        <w:t xml:space="preserve">  </w:t>
      </w:r>
      <w:r>
        <w:rPr>
          <w:rFonts w:hint="eastAsia"/>
          <w:u w:val="single"/>
        </w:rPr>
        <w:t xml:space="preserve">          </w:t>
      </w:r>
    </w:p>
    <w:p>
      <w:pPr>
        <w:spacing w:line="480" w:lineRule="auto"/>
        <w:ind w:right="240" w:firstLine="480"/>
      </w:pPr>
      <w:r>
        <w:rPr>
          <w:rFonts w:hint="eastAsia"/>
        </w:rPr>
        <w:t>系</w:t>
      </w:r>
      <w:r>
        <w:rPr>
          <w:rFonts w:hint="eastAsia"/>
          <w:u w:val="single"/>
        </w:rPr>
        <w:t xml:space="preserve">                                     </w:t>
      </w:r>
      <w:r>
        <w:rPr>
          <w:rFonts w:hint="eastAsia"/>
        </w:rPr>
        <w:t>（供应商名称）的法定代表人。</w:t>
      </w:r>
    </w:p>
    <w:p>
      <w:pPr>
        <w:spacing w:line="480" w:lineRule="auto"/>
        <w:ind w:right="240" w:firstLine="960" w:firstLineChars="400"/>
      </w:pPr>
      <w:r>
        <w:rPr>
          <w:rFonts w:hint="eastAsia"/>
        </w:rPr>
        <w:t>特此证明。</w:t>
      </w:r>
    </w:p>
    <w:p>
      <w:pPr>
        <w:ind w:right="240" w:firstLine="480"/>
      </w:pPr>
    </w:p>
    <w:p>
      <w:pPr>
        <w:wordWrap w:val="0"/>
        <w:ind w:right="240" w:firstLine="480"/>
        <w:jc w:val="right"/>
      </w:pPr>
      <w:r>
        <w:rPr>
          <w:rFonts w:hint="eastAsia"/>
        </w:rPr>
        <w:t>供应商：</w:t>
      </w:r>
      <w:r>
        <w:rPr>
          <w:rFonts w:hint="eastAsia"/>
          <w:u w:val="single"/>
        </w:rPr>
        <w:t xml:space="preserve">                                </w:t>
      </w:r>
      <w:r>
        <w:rPr>
          <w:rFonts w:hint="eastAsia"/>
        </w:rPr>
        <w:t>（盖单位公章）</w:t>
      </w:r>
    </w:p>
    <w:p>
      <w:pPr>
        <w:ind w:right="240" w:firstLine="480"/>
        <w:jc w:val="right"/>
        <w:rPr>
          <w:b/>
          <w:spacing w:val="-10"/>
        </w:rP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tabs>
          <w:tab w:val="left" w:pos="8280"/>
        </w:tabs>
        <w:ind w:right="240" w:firstLine="482"/>
      </w:pPr>
      <w:r>
        <w:rPr>
          <w:rFonts w:hint="eastAsia"/>
          <w:b/>
        </w:rPr>
        <w:t>（以下不作必须格式要求）</w:t>
      </w:r>
    </w:p>
    <w:p>
      <w:pPr>
        <w:tabs>
          <w:tab w:val="left" w:pos="8280"/>
        </w:tabs>
        <w:ind w:right="240" w:firstLine="480"/>
      </w:pPr>
      <w:r>
        <w:rPr>
          <w:rFonts w:hint="eastAsia"/>
        </w:rPr>
        <w:t>附法定代表人身份证正面、背面的复印件。</w:t>
      </w:r>
    </w:p>
    <w:p>
      <w:pPr>
        <w:tabs>
          <w:tab w:val="left" w:pos="8280"/>
        </w:tabs>
        <w:ind w:right="240" w:firstLine="480"/>
      </w:pPr>
      <w:r>
        <mc:AlternateContent>
          <mc:Choice Requires="wps">
            <w:drawing>
              <wp:anchor distT="0" distB="0" distL="114300" distR="114300" simplePos="0" relativeHeight="251663360" behindDoc="0" locked="0" layoutInCell="1" allowOverlap="1">
                <wp:simplePos x="0" y="0"/>
                <wp:positionH relativeFrom="column">
                  <wp:posOffset>457835</wp:posOffset>
                </wp:positionH>
                <wp:positionV relativeFrom="paragraph">
                  <wp:posOffset>65405</wp:posOffset>
                </wp:positionV>
                <wp:extent cx="2016125" cy="1265555"/>
                <wp:effectExtent l="4445" t="4445" r="17780" b="6350"/>
                <wp:wrapNone/>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016125" cy="1265555"/>
                        </a:xfrm>
                        <a:prstGeom prst="rect">
                          <a:avLst/>
                        </a:prstGeom>
                        <a:solidFill>
                          <a:srgbClr val="FFFFFF"/>
                        </a:solidFill>
                        <a:ln w="9525">
                          <a:solidFill>
                            <a:srgbClr val="000000"/>
                          </a:solidFill>
                          <a:miter lim="800000"/>
                        </a:ln>
                      </wps:spPr>
                      <wps:txbx>
                        <w:txbxContent>
                          <w:p>
                            <w:pPr>
                              <w:ind w:right="240" w:firstLine="480"/>
                            </w:pP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6.05pt;margin-top:5.15pt;height:99.65pt;width:158.75pt;z-index:251663360;mso-width-relative:page;mso-height-relative:page;" fillcolor="#FFFFFF" filled="t" stroked="t" coordsize="21600,21600" o:gfxdata="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32I0tgAAAAJAQAADwAAAAAAAAABACAAAAAiAAAAZHJz&#10;L2Rvd25yZXYueG1sUEsBAhQAFAAAAAgAh07iQBKrxw09AgAAiQQAAA4AAAAAAAAAAQAgAAAAJwEA&#10;AGRycy9lMm9Eb2MueG1sUEsFBgAAAAAGAAYAWQEAANYFAAAAAA==&#10;">
                <v:fill on="t" focussize="0,0"/>
                <v:stroke color="#000000" miterlimit="8" joinstyle="miter"/>
                <v:imagedata o:title=""/>
                <o:lock v:ext="edit" aspectratio="f"/>
                <v:textbox>
                  <w:txbxContent>
                    <w:p>
                      <w:pPr>
                        <w:ind w:right="240" w:firstLine="480"/>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2633345</wp:posOffset>
                </wp:positionH>
                <wp:positionV relativeFrom="paragraph">
                  <wp:posOffset>65405</wp:posOffset>
                </wp:positionV>
                <wp:extent cx="2016125" cy="1265555"/>
                <wp:effectExtent l="4445" t="4445" r="17780" b="6350"/>
                <wp:wrapNone/>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016125" cy="1265555"/>
                        </a:xfrm>
                        <a:prstGeom prst="rect">
                          <a:avLst/>
                        </a:prstGeom>
                        <a:solidFill>
                          <a:srgbClr val="FFFFFF"/>
                        </a:solidFill>
                        <a:ln w="9525">
                          <a:solidFill>
                            <a:srgbClr val="000000"/>
                          </a:solidFill>
                          <a:miter lim="800000"/>
                        </a:ln>
                      </wps:spPr>
                      <wps:txbx>
                        <w:txbxContent>
                          <w:p>
                            <w:pPr>
                              <w:ind w:right="240" w:firstLine="480"/>
                            </w:pP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07.35pt;margin-top:5.15pt;height:99.65pt;width:158.75pt;z-index:251662336;mso-width-relative:page;mso-height-relative:page;" fillcolor="#FFFFFF" filled="t" stroked="t" coordsize="21600,21600" o:gfxdata="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&#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231ZW2QAAAAoBAAAPAAAAAAAAAAEAIAAAACIAAABk&#10;cnMvZG93bnJldi54bWxQSwECFAAUAAAACACHTuJAOQHyBD4CAACJBAAADgAAAAAAAAABACAAAAAo&#10;AQAAZHJzL2Uyb0RvYy54bWxQSwUGAAAAAAYABgBZAQAA2AUAAAAA&#10;">
                <v:fill on="t" focussize="0,0"/>
                <v:stroke color="#000000" miterlimit="8" joinstyle="miter"/>
                <v:imagedata o:title=""/>
                <o:lock v:ext="edit" aspectratio="f"/>
                <v:textbox>
                  <w:txbxContent>
                    <w:p>
                      <w:pPr>
                        <w:ind w:right="240" w:firstLine="480"/>
                      </w:pPr>
                    </w:p>
                  </w:txbxContent>
                </v:textbox>
              </v:shape>
            </w:pict>
          </mc:Fallback>
        </mc:AlternateContent>
      </w:r>
    </w:p>
    <w:p>
      <w:pPr>
        <w:ind w:right="240" w:firstLine="480"/>
      </w:pPr>
      <w:r>
        <w:br w:type="page"/>
      </w:r>
    </w:p>
    <w:p>
      <w:pPr>
        <w:ind w:right="240" w:firstLine="0" w:firstLineChars="0"/>
        <w:jc w:val="center"/>
        <w:rPr>
          <w:b/>
          <w:sz w:val="30"/>
        </w:rPr>
      </w:pPr>
      <w:r>
        <w:rPr>
          <w:rFonts w:hint="eastAsia"/>
          <w:b/>
          <w:sz w:val="30"/>
        </w:rPr>
        <w:t>（2）法定代表人委托书</w:t>
      </w:r>
    </w:p>
    <w:p>
      <w:pPr>
        <w:ind w:right="240" w:firstLine="0" w:firstLineChars="0"/>
        <w:jc w:val="center"/>
      </w:pPr>
      <w:r>
        <w:rPr>
          <w:rFonts w:hint="eastAsia"/>
        </w:rPr>
        <w:t>（委托代理人参加磋商时须提供此证明）</w:t>
      </w:r>
    </w:p>
    <w:p>
      <w:pPr>
        <w:ind w:right="240" w:firstLine="0" w:firstLineChars="0"/>
      </w:pPr>
      <w:r>
        <w:rPr>
          <w:rFonts w:hint="eastAsia"/>
          <w:u w:val="single"/>
        </w:rPr>
        <w:t>四川省农村科技发展中心</w:t>
      </w:r>
      <w:r>
        <w:rPr>
          <w:rFonts w:hint="eastAsia"/>
        </w:rPr>
        <w:t>：</w:t>
      </w:r>
    </w:p>
    <w:p>
      <w:pPr>
        <w:ind w:right="-57" w:firstLine="480"/>
      </w:pPr>
      <w:r>
        <w:rPr>
          <w:rFonts w:hint="eastAsia"/>
        </w:rPr>
        <w:t>本授权声明：</w:t>
      </w:r>
      <w:r>
        <w:rPr>
          <w:rFonts w:hint="eastAsia"/>
          <w:u w:val="single"/>
        </w:rPr>
        <w:t xml:space="preserve">         </w:t>
      </w:r>
      <w:r>
        <w:rPr>
          <w:rFonts w:hint="eastAsia"/>
        </w:rPr>
        <w:t>（供应商名称）的</w:t>
      </w:r>
      <w:r>
        <w:rPr>
          <w:rFonts w:hint="eastAsia"/>
          <w:u w:val="single"/>
        </w:rPr>
        <w:t xml:space="preserve">          </w:t>
      </w:r>
      <w:r>
        <w:rPr>
          <w:rFonts w:hint="eastAsia"/>
        </w:rPr>
        <w:t>（法定代表人姓名、职务）授权</w:t>
      </w:r>
      <w:r>
        <w:rPr>
          <w:rFonts w:hint="eastAsia"/>
          <w:u w:val="single"/>
        </w:rPr>
        <w:t xml:space="preserve">        </w:t>
      </w:r>
      <w:r>
        <w:rPr>
          <w:rFonts w:hint="eastAsia"/>
        </w:rPr>
        <w:t>（被授权人姓名、职务）为我方“</w:t>
      </w:r>
      <w:r>
        <w:rPr>
          <w:u w:val="single"/>
        </w:rPr>
        <w:t xml:space="preserve">      </w:t>
      </w:r>
      <w:r>
        <w:rPr>
          <w:rFonts w:hint="eastAsia"/>
        </w:rPr>
        <w:t>” 项目竞争性磋商活动的合法代表，以我方名义全权处理该项目有关磋商等一切事宜。</w:t>
      </w:r>
    </w:p>
    <w:p>
      <w:pPr>
        <w:ind w:right="240" w:firstLine="480"/>
      </w:pPr>
      <w:r>
        <w:rPr>
          <w:rFonts w:hint="eastAsia"/>
        </w:rPr>
        <w:t>特此声明。</w:t>
      </w:r>
    </w:p>
    <w:p>
      <w:pPr>
        <w:ind w:right="240" w:firstLine="480"/>
      </w:pPr>
    </w:p>
    <w:p>
      <w:pPr>
        <w:ind w:right="240" w:firstLine="480"/>
      </w:pPr>
    </w:p>
    <w:p>
      <w:pPr>
        <w:ind w:right="240" w:firstLine="480"/>
      </w:pPr>
      <w:r>
        <w:rPr>
          <w:rFonts w:hint="eastAsia"/>
        </w:rPr>
        <w:t>法定代表人（签字或签章）：</w:t>
      </w:r>
    </w:p>
    <w:p>
      <w:pPr>
        <w:ind w:right="240" w:firstLine="480"/>
      </w:pPr>
      <w:r>
        <w:rPr>
          <w:rFonts w:hint="eastAsia"/>
        </w:rPr>
        <w:t>授权代表签字：</w:t>
      </w:r>
    </w:p>
    <w:p>
      <w:pPr>
        <w:ind w:right="240" w:firstLine="480"/>
      </w:pPr>
      <w:r>
        <w:rPr>
          <w:rFonts w:hint="eastAsia"/>
        </w:rPr>
        <w:t>单位名称：         （盖章）</w:t>
      </w:r>
    </w:p>
    <w:p>
      <w:pPr>
        <w:ind w:right="240" w:firstLine="480"/>
      </w:pPr>
      <w:r>
        <w:rPr>
          <w:rFonts w:hint="eastAsia"/>
        </w:rPr>
        <w:t>日    期：</w:t>
      </w:r>
    </w:p>
    <w:p>
      <w:pPr>
        <w:autoSpaceDE w:val="0"/>
        <w:autoSpaceDN w:val="0"/>
        <w:adjustRightInd w:val="0"/>
        <w:ind w:right="240" w:firstLine="480"/>
      </w:pPr>
    </w:p>
    <w:p>
      <w:pPr>
        <w:autoSpaceDE w:val="0"/>
        <w:autoSpaceDN w:val="0"/>
        <w:adjustRightInd w:val="0"/>
        <w:ind w:right="240" w:firstLine="482"/>
        <w:rPr>
          <w:b/>
        </w:rPr>
      </w:pPr>
      <w:r>
        <w:rPr>
          <w:rFonts w:hint="eastAsia"/>
          <w:b/>
        </w:rPr>
        <w:t>（以下不作必须格式要求）</w:t>
      </w:r>
    </w:p>
    <w:p>
      <w:pPr>
        <w:autoSpaceDE w:val="0"/>
        <w:autoSpaceDN w:val="0"/>
        <w:adjustRightInd w:val="0"/>
        <w:ind w:right="240" w:firstLine="482"/>
        <w:rPr>
          <w:b/>
        </w:rPr>
      </w:pPr>
      <w:r>
        <w:rPr>
          <w:rFonts w:hint="eastAsia"/>
          <w:b/>
        </w:rPr>
        <w:t xml:space="preserve">附法定代表人身份证复印件        附委托代理人身份证复印件 </w:t>
      </w:r>
    </w:p>
    <w:p>
      <w:pPr>
        <w:autoSpaceDE w:val="0"/>
        <w:autoSpaceDN w:val="0"/>
        <w:adjustRightInd w:val="0"/>
        <w:ind w:right="240" w:firstLine="482"/>
        <w:rPr>
          <w:b/>
        </w:rPr>
      </w:pPr>
      <w:r>
        <w:rPr>
          <w:b/>
        </w:rPr>
        <mc:AlternateContent>
          <mc:Choice Requires="wpg">
            <w:drawing>
              <wp:inline distT="0" distB="0" distL="0" distR="0">
                <wp:extent cx="2165985" cy="2523490"/>
                <wp:effectExtent l="0" t="0" r="24765" b="10160"/>
                <wp:docPr id="17" name="组合 4"/>
                <wp:cNvGraphicFramePr/>
                <a:graphic xmlns:a="http://schemas.openxmlformats.org/drawingml/2006/main">
                  <a:graphicData uri="http://schemas.microsoft.com/office/word/2010/wordprocessingGroup">
                    <wpg:wgp>
                      <wpg:cNvGrpSpPr/>
                      <wpg:grpSpPr>
                        <a:xfrm>
                          <a:off x="0" y="0"/>
                          <a:ext cx="2165985" cy="2523490"/>
                          <a:chOff x="1477" y="10569"/>
                          <a:chExt cx="4035" cy="4440"/>
                        </a:xfrm>
                      </wpg:grpSpPr>
                      <wps:wsp>
                        <wps:cNvPr id="7" name="矩形 6"/>
                        <wps:cNvSpPr>
                          <a:spLocks noChangeArrowheads="1"/>
                        </wps:cNvSpPr>
                        <wps:spPr bwMode="auto">
                          <a:xfrm>
                            <a:off x="1477" y="10569"/>
                            <a:ext cx="4035" cy="2049"/>
                          </a:xfrm>
                          <a:prstGeom prst="rect">
                            <a:avLst/>
                          </a:prstGeom>
                          <a:noFill/>
                          <a:ln w="15875">
                            <a:solidFill>
                              <a:srgbClr val="000000"/>
                            </a:solidFill>
                            <a:miter lim="800000"/>
                          </a:ln>
                        </wps:spPr>
                        <wps:bodyPr rot="0" vert="horz" wrap="square" lIns="91440" tIns="45720" rIns="91440" bIns="45720" anchor="t" anchorCtr="0" upright="1">
                          <a:noAutofit/>
                        </wps:bodyPr>
                      </wps:wsp>
                      <wps:wsp>
                        <wps:cNvPr id="8" name="矩形 7"/>
                        <wps:cNvSpPr>
                          <a:spLocks noChangeArrowheads="1"/>
                        </wps:cNvSpPr>
                        <wps:spPr bwMode="auto">
                          <a:xfrm>
                            <a:off x="1477" y="12816"/>
                            <a:ext cx="4035" cy="2193"/>
                          </a:xfrm>
                          <a:prstGeom prst="rect">
                            <a:avLst/>
                          </a:prstGeom>
                          <a:noFill/>
                          <a:ln w="15875">
                            <a:solidFill>
                              <a:srgbClr val="000000"/>
                            </a:solidFill>
                            <a:miter lim="800000"/>
                          </a:ln>
                        </wps:spPr>
                        <wps:bodyPr rot="0" vert="horz" wrap="square" lIns="91440" tIns="45720" rIns="91440" bIns="45720" anchor="t" anchorCtr="0" upright="1">
                          <a:noAutofit/>
                        </wps:bodyPr>
                      </wps:wsp>
                    </wpg:wgp>
                  </a:graphicData>
                </a:graphic>
              </wp:inline>
            </w:drawing>
          </mc:Choice>
          <mc:Fallback>
            <w:pict>
              <v:group id="组合 4" o:spid="_x0000_s1026" o:spt="203" style="height:198.7pt;width:170.55pt;" coordorigin="1477,10569" coordsize="4035,4440" o:gfxdata="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C53Pdp1gAA&#10;AAUBAAAPAAAAAAAAAAEAIAAAACIAAABkcnMvZG93bnJldi54bWxQSwECFAAUAAAACACHTuJAxDw7&#10;YMsCAADnBwAADgAAAAAAAAABACAAAAAlAQAAZHJzL2Uyb0RvYy54bWxQSwUGAAAAAAYABgBZAQAA&#10;YgYAAAAA&#10;">
                <o:lock v:ext="edit" aspectratio="f"/>
                <v:rect id="矩形 6" o:spid="_x0000_s1026" o:spt="1" style="position:absolute;left:1477;top:10569;height:2049;width:4035;" filled="f" stroked="t" coordsize="21600,21600" o:gfxdata="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48AnW8AAAA&#10;2gAAAA8AAAAAAAAAAQAgAAAAIgAAAGRycy9kb3ducmV2LnhtbFBLAQIUABQAAAAIAIdO4kAzLwWe&#10;OwAAADkAAAAQAAAAAAAAAAEAIAAAAAsBAABkcnMvc2hhcGV4bWwueG1sUEsFBgAAAAAGAAYAWwEA&#10;ALUDAAAAAA==&#10;">
                  <v:fill on="f" focussize="0,0"/>
                  <v:stroke weight="1.25pt" color="#000000" miterlimit="8" joinstyle="miter"/>
                  <v:imagedata o:title=""/>
                  <o:lock v:ext="edit" aspectratio="f"/>
                </v:rect>
                <v:rect id="矩形 7" o:spid="_x0000_s1026" o:spt="1" style="position:absolute;left:1477;top:12816;height:2193;width:4035;" filled="f" stroked="t" coordsize="21600,21600" o:gfxdata="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D6OWB7UAAADaAAAADwAA&#10;AAAAAAABACAAAAAiAAAAZHJzL2Rvd25yZXYueG1sUEsBAhQAFAAAAAgAh07iQDMvBZ47AAAAOQAA&#10;ABAAAAAAAAAAAQAgAAAABAEAAGRycy9zaGFwZXhtbC54bWxQSwUGAAAAAAYABgBbAQAArgMAAAAA&#10;">
                  <v:fill on="f" focussize="0,0"/>
                  <v:stroke weight="1.25pt" color="#000000" miterlimit="8" joinstyle="miter"/>
                  <v:imagedata o:title=""/>
                  <o:lock v:ext="edit" aspectratio="f"/>
                </v:rect>
                <w10:wrap type="none"/>
                <w10:anchorlock/>
              </v:group>
            </w:pict>
          </mc:Fallback>
        </mc:AlternateContent>
      </w:r>
      <w:r>
        <w:rPr>
          <w:rFonts w:hint="eastAsia"/>
          <w:b/>
        </w:rPr>
        <w:t xml:space="preserve"> </w:t>
      </w:r>
      <w:r>
        <w:rPr>
          <w:b/>
        </w:rPr>
        <w:t xml:space="preserve">   </w:t>
      </w:r>
      <w:r>
        <w:rPr>
          <w:rFonts w:hint="eastAsia"/>
          <w:b/>
        </w:rPr>
        <mc:AlternateContent>
          <mc:Choice Requires="wpg">
            <w:drawing>
              <wp:inline distT="0" distB="0" distL="0" distR="0">
                <wp:extent cx="2165985" cy="2523490"/>
                <wp:effectExtent l="0" t="0" r="24765" b="10160"/>
                <wp:docPr id="4" name="组合 4"/>
                <wp:cNvGraphicFramePr/>
                <a:graphic xmlns:a="http://schemas.openxmlformats.org/drawingml/2006/main">
                  <a:graphicData uri="http://schemas.microsoft.com/office/word/2010/wordprocessingGroup">
                    <wpg:wgp>
                      <wpg:cNvGrpSpPr/>
                      <wpg:grpSpPr>
                        <a:xfrm>
                          <a:off x="0" y="0"/>
                          <a:ext cx="2165985" cy="2523490"/>
                          <a:chOff x="1477" y="10569"/>
                          <a:chExt cx="4035" cy="4440"/>
                        </a:xfrm>
                      </wpg:grpSpPr>
                      <wps:wsp>
                        <wps:cNvPr id="18" name="矩形 6"/>
                        <wps:cNvSpPr>
                          <a:spLocks noChangeArrowheads="1"/>
                        </wps:cNvSpPr>
                        <wps:spPr bwMode="auto">
                          <a:xfrm>
                            <a:off x="1477" y="10569"/>
                            <a:ext cx="4035" cy="2049"/>
                          </a:xfrm>
                          <a:prstGeom prst="rect">
                            <a:avLst/>
                          </a:prstGeom>
                          <a:noFill/>
                          <a:ln w="15875">
                            <a:solidFill>
                              <a:srgbClr val="000000"/>
                            </a:solidFill>
                            <a:miter lim="800000"/>
                          </a:ln>
                        </wps:spPr>
                        <wps:bodyPr rot="0" vert="horz" wrap="square" lIns="91440" tIns="45720" rIns="91440" bIns="45720" anchor="t" anchorCtr="0" upright="1">
                          <a:noAutofit/>
                        </wps:bodyPr>
                      </wps:wsp>
                      <wps:wsp>
                        <wps:cNvPr id="19" name="矩形 7"/>
                        <wps:cNvSpPr>
                          <a:spLocks noChangeArrowheads="1"/>
                        </wps:cNvSpPr>
                        <wps:spPr bwMode="auto">
                          <a:xfrm>
                            <a:off x="1477" y="12816"/>
                            <a:ext cx="4035" cy="2193"/>
                          </a:xfrm>
                          <a:prstGeom prst="rect">
                            <a:avLst/>
                          </a:prstGeom>
                          <a:noFill/>
                          <a:ln w="15875">
                            <a:solidFill>
                              <a:srgbClr val="000000"/>
                            </a:solidFill>
                            <a:miter lim="800000"/>
                          </a:ln>
                        </wps:spPr>
                        <wps:bodyPr rot="0" vert="horz" wrap="square" lIns="91440" tIns="45720" rIns="91440" bIns="45720" anchor="t" anchorCtr="0" upright="1">
                          <a:noAutofit/>
                        </wps:bodyPr>
                      </wps:wsp>
                    </wpg:wgp>
                  </a:graphicData>
                </a:graphic>
              </wp:inline>
            </w:drawing>
          </mc:Choice>
          <mc:Fallback>
            <w:pict>
              <v:group id="_x0000_s1026" o:spid="_x0000_s1026" o:spt="203" style="height:198.7pt;width:170.55pt;" coordorigin="1477,10569" coordsize="4035,4440" o:gfxdata="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Lnc92nWAAAA&#10;BQEAAA8AAAAAAAAAAQAgAAAAIgAAAGRycy9kb3ducmV2LnhtbFBLAQIUABQAAAAIAIdO4kAcgj7E&#10;ygIAAOgHAAAOAAAAAAAAAAEAIAAAACUBAABkcnMvZTJvRG9jLnhtbFBLBQYAAAAABgAGAFkBAABh&#10;BgAAAAA=&#10;">
                <o:lock v:ext="edit" aspectratio="f"/>
                <v:rect id="矩形 6" o:spid="_x0000_s1026" o:spt="1" style="position:absolute;left:1477;top:10569;height:2049;width:4035;" filled="f" stroked="t" coordsize="21600,21600" o:gfxdata="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dvGpO8AAAA&#10;2wAAAA8AAAAAAAAAAQAgAAAAIgAAAGRycy9kb3ducmV2LnhtbFBLAQIUABQAAAAIAIdO4kAzLwWe&#10;OwAAADkAAAAQAAAAAAAAAAEAIAAAAAsBAABkcnMvc2hhcGV4bWwueG1sUEsFBgAAAAAGAAYAWwEA&#10;ALUDAAAAAA==&#10;">
                  <v:fill on="f" focussize="0,0"/>
                  <v:stroke weight="1.25pt" color="#000000" miterlimit="8" joinstyle="miter"/>
                  <v:imagedata o:title=""/>
                  <o:lock v:ext="edit" aspectratio="f"/>
                </v:rect>
                <v:rect id="矩形 7" o:spid="_x0000_s1026" o:spt="1" style="position:absolute;left:1477;top:12816;height:2193;width:4035;" filled="f" stroked="t" coordsize="21600,21600" o:gfxdata="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gjvwi2AAAA2wAAAA8A&#10;AAAAAAAAAQAgAAAAIgAAAGRycy9kb3ducmV2LnhtbFBLAQIUABQAAAAIAIdO4kAzLwWeOwAAADkA&#10;AAAQAAAAAAAAAAEAIAAAAAUBAABkcnMvc2hhcGV4bWwueG1sUEsFBgAAAAAGAAYAWwEAAK8DAAAA&#10;AA==&#10;">
                  <v:fill on="f" focussize="0,0"/>
                  <v:stroke weight="1.25pt" color="#000000" miterlimit="8" joinstyle="miter"/>
                  <v:imagedata o:title=""/>
                  <o:lock v:ext="edit" aspectratio="f"/>
                </v:rect>
                <w10:wrap type="none"/>
                <w10:anchorlock/>
              </v:group>
            </w:pict>
          </mc:Fallback>
        </mc:AlternateContent>
      </w:r>
    </w:p>
    <w:p>
      <w:pPr>
        <w:autoSpaceDE w:val="0"/>
        <w:autoSpaceDN w:val="0"/>
        <w:adjustRightInd w:val="0"/>
        <w:ind w:right="240" w:firstLine="482"/>
        <w:rPr>
          <w:b/>
        </w:rPr>
      </w:pPr>
    </w:p>
    <w:bookmarkEnd w:id="159"/>
    <w:p>
      <w:pPr>
        <w:widowControl/>
        <w:spacing w:line="240" w:lineRule="auto"/>
        <w:ind w:firstLine="0" w:firstLineChars="0"/>
        <w:jc w:val="left"/>
      </w:pPr>
      <w:r>
        <w:br w:type="page"/>
      </w:r>
    </w:p>
    <w:p>
      <w:pPr>
        <w:pStyle w:val="5"/>
        <w:numPr>
          <w:ilvl w:val="2"/>
          <w:numId w:val="15"/>
        </w:numPr>
      </w:pPr>
      <w:bookmarkStart w:id="160" w:name="_Toc91071128"/>
      <w:bookmarkStart w:id="161" w:name="_Toc87641205"/>
      <w:bookmarkStart w:id="162" w:name="_Toc88748265"/>
      <w:r>
        <w:rPr>
          <w:rFonts w:hint="eastAsia"/>
        </w:rPr>
        <w:t>响应函格式</w:t>
      </w:r>
      <w:bookmarkEnd w:id="160"/>
      <w:bookmarkEnd w:id="161"/>
      <w:bookmarkEnd w:id="162"/>
    </w:p>
    <w:p>
      <w:pPr>
        <w:autoSpaceDE w:val="0"/>
        <w:autoSpaceDN w:val="0"/>
        <w:adjustRightInd w:val="0"/>
        <w:spacing w:line="276" w:lineRule="auto"/>
        <w:ind w:left="324" w:leftChars="135" w:right="240" w:firstLine="723"/>
        <w:jc w:val="center"/>
        <w:rPr>
          <w:b/>
          <w:color w:val="000000"/>
          <w:kern w:val="0"/>
          <w:sz w:val="36"/>
        </w:rPr>
      </w:pPr>
      <w:r>
        <w:rPr>
          <w:rFonts w:hint="eastAsia"/>
          <w:b/>
          <w:color w:val="000000"/>
          <w:kern w:val="0"/>
          <w:sz w:val="36"/>
        </w:rPr>
        <w:t xml:space="preserve">响 应 </w:t>
      </w:r>
      <w:r>
        <w:rPr>
          <w:b/>
          <w:color w:val="000000"/>
          <w:kern w:val="0"/>
          <w:sz w:val="36"/>
        </w:rPr>
        <w:t>函</w:t>
      </w:r>
    </w:p>
    <w:p>
      <w:pPr>
        <w:ind w:right="240" w:firstLine="0" w:firstLineChars="0"/>
      </w:pPr>
      <w:r>
        <w:rPr>
          <w:rFonts w:hint="eastAsia"/>
        </w:rPr>
        <w:t>四川省农村科技发展中心</w:t>
      </w:r>
      <w:r>
        <w:t>：</w:t>
      </w:r>
    </w:p>
    <w:p>
      <w:pPr>
        <w:ind w:right="-57" w:firstLine="480"/>
      </w:pPr>
      <w:r>
        <w:rPr>
          <w:rFonts w:hint="eastAsia"/>
        </w:rPr>
        <w:t>根据对</w:t>
      </w:r>
      <w:r>
        <w:rPr>
          <w:u w:val="single"/>
        </w:rPr>
        <w:t xml:space="preserve">  </w:t>
      </w:r>
      <w:r>
        <w:rPr>
          <w:rFonts w:hint="eastAsia"/>
          <w:b/>
          <w:u w:val="single"/>
        </w:rPr>
        <w:t>四川省农村科技发展中心内控信息化管理平台建设项目</w:t>
      </w:r>
      <w:r>
        <w:rPr>
          <w:u w:val="single"/>
        </w:rPr>
        <w:t xml:space="preserve">  </w:t>
      </w:r>
      <w:r>
        <w:rPr>
          <w:rFonts w:hint="eastAsia"/>
        </w:rPr>
        <w:t>的磋商文件进行研究，我公司决定参与本次竞争性磋商，并按照磋商文件要求提交响应文件</w:t>
      </w:r>
      <w:r>
        <w:rPr>
          <w:rFonts w:hint="eastAsia"/>
          <w:bCs/>
        </w:rPr>
        <w:t>。</w:t>
      </w:r>
    </w:p>
    <w:p>
      <w:pPr>
        <w:pStyle w:val="63"/>
        <w:numPr>
          <w:ilvl w:val="0"/>
          <w:numId w:val="16"/>
        </w:numPr>
        <w:ind w:right="-57" w:firstLine="424" w:firstLineChars="177"/>
      </w:pPr>
      <w:r>
        <w:rPr>
          <w:rFonts w:hint="eastAsia"/>
        </w:rPr>
        <w:t>一旦我方成交，我方将严格履行采购合同规定的责任和义务，并且满足磋商文件规定的履约期限、地点。</w:t>
      </w:r>
    </w:p>
    <w:p>
      <w:pPr>
        <w:pStyle w:val="63"/>
        <w:numPr>
          <w:ilvl w:val="0"/>
          <w:numId w:val="16"/>
        </w:numPr>
        <w:ind w:right="-57" w:firstLine="424" w:firstLineChars="177"/>
      </w:pPr>
      <w:r>
        <w:rPr>
          <w:rFonts w:hint="eastAsia"/>
        </w:rPr>
        <w:t>我方同意本次磋商的磋商有效期为</w:t>
      </w:r>
      <w:r>
        <w:t>9</w:t>
      </w:r>
      <w:r>
        <w:rPr>
          <w:rFonts w:hint="eastAsia"/>
        </w:rPr>
        <w:t>0天。（</w:t>
      </w:r>
      <w:r>
        <w:t>本项目响应文件有效期为递交响应文件截止之日起90天。</w:t>
      </w:r>
      <w:r>
        <w:rPr>
          <w:rFonts w:hint="eastAsia"/>
        </w:rPr>
        <w:t>）</w:t>
      </w:r>
    </w:p>
    <w:p>
      <w:pPr>
        <w:pStyle w:val="63"/>
        <w:numPr>
          <w:ilvl w:val="0"/>
          <w:numId w:val="16"/>
        </w:numPr>
        <w:ind w:right="-57" w:firstLine="424" w:firstLineChars="177"/>
      </w:pPr>
      <w:r>
        <w:rPr>
          <w:rFonts w:hint="eastAsia"/>
        </w:rPr>
        <w:t>我方愿意提供贵单位可能另外要求的，与响应有关的文件资料，并保证我方已提供和将要提供的文件资料是真实、准确的。</w:t>
      </w:r>
    </w:p>
    <w:p>
      <w:pPr>
        <w:pStyle w:val="63"/>
        <w:numPr>
          <w:ilvl w:val="0"/>
          <w:numId w:val="16"/>
        </w:numPr>
        <w:ind w:right="-57" w:firstLine="424" w:firstLineChars="177"/>
      </w:pPr>
      <w:r>
        <w:rPr>
          <w:rFonts w:hint="eastAsia"/>
        </w:rPr>
        <w:t>我方承诺履行磋商须知中磋商费用的规定。</w:t>
      </w:r>
    </w:p>
    <w:p>
      <w:pPr>
        <w:ind w:right="240" w:firstLine="480"/>
      </w:pPr>
    </w:p>
    <w:p>
      <w:pPr>
        <w:ind w:right="240" w:firstLine="480"/>
      </w:pPr>
    </w:p>
    <w:p>
      <w:pPr>
        <w:ind w:right="240" w:firstLine="480"/>
      </w:pPr>
    </w:p>
    <w:p>
      <w:pPr>
        <w:ind w:right="240" w:firstLine="480"/>
      </w:pPr>
      <w:r>
        <w:rPr>
          <w:rFonts w:hint="eastAsia"/>
        </w:rPr>
        <w:t>供应商名称：XXXX（单位公章）</w:t>
      </w:r>
    </w:p>
    <w:p>
      <w:pPr>
        <w:ind w:right="240" w:firstLine="480"/>
      </w:pPr>
      <w:r>
        <w:rPr>
          <w:rFonts w:hint="eastAsia"/>
        </w:rPr>
        <w:t>法定代表人或授权代表（签字或加盖个人名章）：XXXX</w:t>
      </w:r>
    </w:p>
    <w:p>
      <w:pPr>
        <w:ind w:right="240" w:firstLine="480"/>
      </w:pPr>
      <w:r>
        <w:rPr>
          <w:rFonts w:hint="eastAsia"/>
        </w:rPr>
        <w:t>通讯地址：XXXX</w:t>
      </w:r>
    </w:p>
    <w:p>
      <w:pPr>
        <w:ind w:right="240" w:firstLine="480"/>
      </w:pPr>
      <w:r>
        <w:rPr>
          <w:rFonts w:hint="eastAsia"/>
        </w:rPr>
        <w:t xml:space="preserve">邮政编码：XXXX </w:t>
      </w:r>
    </w:p>
    <w:p>
      <w:pPr>
        <w:ind w:right="240" w:firstLine="480"/>
      </w:pPr>
      <w:r>
        <w:rPr>
          <w:rFonts w:hint="eastAsia"/>
        </w:rPr>
        <w:t>联系电话：XXXX</w:t>
      </w:r>
    </w:p>
    <w:p>
      <w:pPr>
        <w:ind w:right="240" w:firstLine="480"/>
      </w:pPr>
      <w:r>
        <w:rPr>
          <w:rFonts w:hint="eastAsia"/>
        </w:rPr>
        <w:t xml:space="preserve">传    真：XXXX </w:t>
      </w:r>
    </w:p>
    <w:p>
      <w:pPr>
        <w:ind w:firstLine="480"/>
      </w:pPr>
      <w:r>
        <w:rPr>
          <w:rFonts w:hint="eastAsia"/>
        </w:rPr>
        <w:t>日    期：XXXX年XXXX月XXXX日</w:t>
      </w:r>
    </w:p>
    <w:p>
      <w:pPr>
        <w:widowControl/>
        <w:spacing w:line="240" w:lineRule="auto"/>
        <w:ind w:firstLine="0" w:firstLineChars="0"/>
        <w:jc w:val="left"/>
      </w:pPr>
      <w:r>
        <w:br w:type="page"/>
      </w:r>
    </w:p>
    <w:p>
      <w:pPr>
        <w:pStyle w:val="5"/>
      </w:pPr>
      <w:bookmarkStart w:id="163" w:name="_Toc91071129"/>
      <w:bookmarkStart w:id="164" w:name="_Toc88748266"/>
      <w:bookmarkStart w:id="165" w:name="_Toc87641206"/>
      <w:r>
        <w:rPr>
          <w:rFonts w:hint="eastAsia"/>
        </w:rPr>
        <w:t>项目相关承诺函</w:t>
      </w:r>
      <w:bookmarkEnd w:id="163"/>
      <w:bookmarkEnd w:id="164"/>
      <w:bookmarkEnd w:id="165"/>
    </w:p>
    <w:p>
      <w:pPr>
        <w:ind w:firstLine="480"/>
        <w:jc w:val="center"/>
      </w:pPr>
      <w:r>
        <w:rPr>
          <w:rFonts w:hint="eastAsia"/>
        </w:rPr>
        <w:t>承诺函</w:t>
      </w:r>
    </w:p>
    <w:p>
      <w:pPr>
        <w:ind w:right="240" w:firstLine="0" w:firstLineChars="0"/>
      </w:pPr>
      <w:r>
        <w:rPr>
          <w:rFonts w:hint="eastAsia"/>
        </w:rPr>
        <w:t>四川省农村科技发展中心：</w:t>
      </w:r>
    </w:p>
    <w:p>
      <w:pPr>
        <w:ind w:right="240" w:firstLine="480"/>
      </w:pPr>
      <w:r>
        <w:rPr>
          <w:rFonts w:hint="eastAsia"/>
        </w:rPr>
        <w:t>我公司作为本次采购项目的供应商，根据磋商文件要求，现郑重承诺如下：</w:t>
      </w:r>
    </w:p>
    <w:p>
      <w:pPr>
        <w:pStyle w:val="63"/>
        <w:numPr>
          <w:ilvl w:val="1"/>
          <w:numId w:val="17"/>
        </w:numPr>
        <w:ind w:right="-57" w:firstLine="424" w:firstLineChars="177"/>
      </w:pPr>
      <w:r>
        <w:t>如对</w:t>
      </w:r>
      <w:r>
        <w:rPr>
          <w:rFonts w:hint="eastAsia"/>
        </w:rPr>
        <w:t>磋商文件</w:t>
      </w:r>
      <w:r>
        <w:t>有异议，已经在截止时间届满前依法进行维权救济，不存在对</w:t>
      </w:r>
      <w:r>
        <w:rPr>
          <w:rFonts w:hint="eastAsia"/>
        </w:rPr>
        <w:t>磋商文件</w:t>
      </w:r>
      <w:r>
        <w:t>有异议的同时又参加</w:t>
      </w:r>
      <w:r>
        <w:rPr>
          <w:rFonts w:hint="eastAsia"/>
        </w:rPr>
        <w:t>磋商响应</w:t>
      </w:r>
      <w:r>
        <w:t>以求侥幸</w:t>
      </w:r>
      <w:r>
        <w:rPr>
          <w:rFonts w:hint="eastAsia"/>
        </w:rPr>
        <w:t>成交</w:t>
      </w:r>
      <w:r>
        <w:t>或者为实现其他非法目的的行为。</w:t>
      </w:r>
    </w:p>
    <w:p>
      <w:pPr>
        <w:pStyle w:val="63"/>
        <w:numPr>
          <w:ilvl w:val="1"/>
          <w:numId w:val="5"/>
        </w:numPr>
        <w:ind w:right="-57" w:firstLine="424" w:firstLineChars="177"/>
      </w:pPr>
      <w:r>
        <w:rPr>
          <w:rFonts w:hint="eastAsia"/>
        </w:rPr>
        <w:t>响应文件中提供的能够给予我公司带来优惠、好处的任何材料资料和技术、服务、商务等响应承诺情况都是真实的、有效的、合法的。</w:t>
      </w:r>
    </w:p>
    <w:p>
      <w:pPr>
        <w:pStyle w:val="63"/>
        <w:numPr>
          <w:ilvl w:val="1"/>
          <w:numId w:val="5"/>
        </w:numPr>
        <w:ind w:firstLine="424" w:firstLineChars="177"/>
      </w:pPr>
      <w:r>
        <w:rPr>
          <w:rFonts w:hint="eastAsia"/>
        </w:rPr>
        <w:t>如本项目评审过程中需要提供样品，则我公司提供的样品即为成交后将要提供的成交产品，我公司对提供样品的性能和质量负责，因样品存在缺陷或者不符合磋商文件要求导致未能成交的，我公司愿意承担相应不利后果。</w:t>
      </w:r>
    </w:p>
    <w:p>
      <w:pPr>
        <w:pStyle w:val="63"/>
        <w:numPr>
          <w:ilvl w:val="1"/>
          <w:numId w:val="5"/>
        </w:numPr>
        <w:ind w:right="-57" w:firstLine="424" w:firstLineChars="177"/>
      </w:pPr>
      <w:r>
        <w:rPr>
          <w:rFonts w:hint="eastAsia"/>
        </w:rPr>
        <w:t>我单位承诺参加本次采购活动，不存在与单位负责人为同一人或者存在直接控股、管理关系的其他供应商参与同一合同项下的采购活动的行为，不存在和其他供应商在同一合同项下的采购项目中，同时委托同一自然人、同一家庭的人员、同一单位的人员作为代理人的行为。</w:t>
      </w:r>
    </w:p>
    <w:p>
      <w:pPr>
        <w:pStyle w:val="63"/>
        <w:numPr>
          <w:ilvl w:val="1"/>
          <w:numId w:val="5"/>
        </w:numPr>
        <w:ind w:right="-57" w:firstLine="424" w:firstLineChars="177"/>
      </w:pPr>
      <w:r>
        <w:rPr>
          <w:rFonts w:hint="eastAsia"/>
        </w:rPr>
        <w:t>没有为采购项目提供整体设计、规范编制或者项目管理、监理、检测等服务。</w:t>
      </w:r>
    </w:p>
    <w:p>
      <w:pPr>
        <w:pStyle w:val="63"/>
        <w:numPr>
          <w:ilvl w:val="1"/>
          <w:numId w:val="5"/>
        </w:numPr>
        <w:ind w:right="-57" w:firstLine="424" w:firstLineChars="177"/>
      </w:pPr>
      <w:r>
        <w:rPr>
          <w:rFonts w:hint="eastAsia"/>
        </w:rPr>
        <w:t>我单位（自然人）及其现任法定代表人、主要负责人近三年内没有行贿犯罪记录。</w:t>
      </w:r>
    </w:p>
    <w:p>
      <w:pPr>
        <w:pStyle w:val="63"/>
        <w:numPr>
          <w:ilvl w:val="1"/>
          <w:numId w:val="5"/>
        </w:numPr>
        <w:ind w:right="-57" w:firstLine="424" w:firstLineChars="177"/>
      </w:pPr>
      <w:r>
        <w:rPr>
          <w:rFonts w:hint="eastAsia"/>
        </w:rPr>
        <w:t>我单位（自然人）没有被列入失信被执行人、重大税收违法案件当事人名单。</w:t>
      </w:r>
    </w:p>
    <w:p>
      <w:pPr>
        <w:pStyle w:val="63"/>
        <w:numPr>
          <w:ilvl w:val="1"/>
          <w:numId w:val="5"/>
        </w:numPr>
        <w:ind w:right="-57" w:firstLine="424" w:firstLineChars="177"/>
      </w:pPr>
      <w:r>
        <w:rPr>
          <w:rFonts w:hint="eastAsia"/>
        </w:rPr>
        <w:t>承诺遵守国家有关的法律、法规、规章和其他政策制度。</w:t>
      </w:r>
    </w:p>
    <w:p>
      <w:pPr>
        <w:pStyle w:val="63"/>
        <w:numPr>
          <w:ilvl w:val="1"/>
          <w:numId w:val="5"/>
        </w:numPr>
        <w:ind w:right="-57" w:firstLine="424" w:firstLineChars="177"/>
      </w:pPr>
      <w:r>
        <w:rPr>
          <w:rFonts w:hint="eastAsia"/>
        </w:rPr>
        <w:t>承诺按照磋商文件规定提交履约保证金（如有）。</w:t>
      </w:r>
    </w:p>
    <w:p>
      <w:pPr>
        <w:pStyle w:val="63"/>
        <w:numPr>
          <w:ilvl w:val="1"/>
          <w:numId w:val="5"/>
        </w:numPr>
        <w:ind w:right="-57" w:firstLine="424" w:firstLineChars="177"/>
      </w:pPr>
      <w:r>
        <w:rPr>
          <w:rFonts w:hint="eastAsia"/>
        </w:rPr>
        <w:t>我单位保证在本项目使用的任何产品和服务（包括部分使用）时，不会产生因第三方提出侵犯其专利权、商标权或其它知识产权而引起的法律和经济纠纷，如因专利权、商标权或其它知识产权而引起法律和经济纠纷，由本单位承担所有相关责任。采购人享有本项目实施过程中产生的知识成果及知识产权。我单位如欲在项目实施过程中采用自有知识成果，会在响应文件中声明，并提供相关知识产权证明文件。使用该知识成果后，我单位需提供开发接口和开发手册等技术文档，并承诺提供无限期技术支持，采购人享有永久使用权（含采购人委托第三方在该项目后续开发的使用权）。如采用我单位所不拥有的知识产权，则在报价中已包括合法获取该知识产权的相关费用。</w:t>
      </w:r>
    </w:p>
    <w:p>
      <w:pPr>
        <w:pStyle w:val="63"/>
        <w:numPr>
          <w:ilvl w:val="1"/>
          <w:numId w:val="5"/>
        </w:numPr>
        <w:ind w:firstLine="424" w:firstLineChars="177"/>
      </w:pPr>
      <w:r>
        <w:rPr>
          <w:rFonts w:hint="eastAsia"/>
        </w:rPr>
        <w:t>按照《强制性产品认证管理规定》的规定，如我单位所投产品有属于国家质检总局、国家认监委联合发布强制性产品认证最新目录内的产品，我单位承诺为本项目提供的其相关产品完全满足《强制性产品认证管理规定》的规定，成交后会均会提供其相应认证证书。</w:t>
      </w:r>
    </w:p>
    <w:p>
      <w:pPr>
        <w:pStyle w:val="63"/>
        <w:numPr>
          <w:ilvl w:val="1"/>
          <w:numId w:val="5"/>
        </w:numPr>
        <w:ind w:firstLine="424" w:firstLineChars="177"/>
      </w:pPr>
      <w:r>
        <w:rPr>
          <w:rFonts w:hint="eastAsia"/>
        </w:rPr>
        <w:t>我单位接受本项目关于合同分包的约定。</w:t>
      </w:r>
    </w:p>
    <w:p>
      <w:pPr>
        <w:ind w:right="240" w:firstLine="480"/>
      </w:pPr>
      <w:r>
        <w:rPr>
          <w:rFonts w:hint="eastAsia"/>
        </w:rPr>
        <w:t>我单位对上述承诺内容的真实性负责，如经查实上述承诺的内容存在虚假，我单位愿意承担以提供虚假材料谋取成交的法律责任。</w:t>
      </w:r>
    </w:p>
    <w:p>
      <w:pPr>
        <w:ind w:right="240" w:firstLine="480"/>
      </w:pPr>
      <w:r>
        <w:rPr>
          <w:rFonts w:hint="eastAsia"/>
        </w:rPr>
        <w:t xml:space="preserve">       </w:t>
      </w:r>
    </w:p>
    <w:p>
      <w:pPr>
        <w:ind w:right="240" w:firstLine="480"/>
      </w:pPr>
      <w:r>
        <w:rPr>
          <w:rFonts w:hint="eastAsia"/>
        </w:rPr>
        <w:t xml:space="preserve">       </w:t>
      </w:r>
    </w:p>
    <w:p>
      <w:pPr>
        <w:ind w:right="240" w:firstLine="480"/>
      </w:pPr>
      <w:r>
        <w:rPr>
          <w:rFonts w:hint="eastAsia"/>
        </w:rPr>
        <w:t>供应商名称：XXXX（单位公章）。</w:t>
      </w:r>
    </w:p>
    <w:p>
      <w:pPr>
        <w:ind w:right="240" w:firstLine="480"/>
      </w:pPr>
      <w:r>
        <w:rPr>
          <w:rFonts w:hint="eastAsia"/>
        </w:rPr>
        <w:t>法定代表人或授权代表（签字或加盖个人名章）：XXXX。</w:t>
      </w:r>
    </w:p>
    <w:p>
      <w:pPr>
        <w:ind w:right="240" w:firstLine="480"/>
      </w:pPr>
      <w:r>
        <w:rPr>
          <w:rFonts w:hint="eastAsia"/>
        </w:rPr>
        <w:t>日    期：XXXX。</w:t>
      </w:r>
    </w:p>
    <w:p>
      <w:pPr>
        <w:ind w:right="240" w:firstLine="480"/>
      </w:pPr>
    </w:p>
    <w:p>
      <w:pPr>
        <w:pStyle w:val="71"/>
        <w:ind w:right="240" w:firstLine="480"/>
        <w:rPr>
          <w:rFonts w:ascii="仿宋" w:hAnsi="仿宋" w:eastAsia="仿宋"/>
        </w:rPr>
      </w:pPr>
    </w:p>
    <w:p>
      <w:pPr>
        <w:widowControl/>
        <w:spacing w:line="240" w:lineRule="auto"/>
        <w:ind w:right="240" w:firstLine="0" w:firstLineChars="0"/>
        <w:rPr>
          <w:b/>
        </w:rPr>
      </w:pPr>
      <w:r>
        <w:br w:type="page"/>
      </w:r>
    </w:p>
    <w:p>
      <w:pPr>
        <w:pStyle w:val="5"/>
      </w:pPr>
      <w:bookmarkStart w:id="166" w:name="_Toc88748267"/>
      <w:bookmarkStart w:id="167" w:name="_Toc91071130"/>
      <w:bookmarkStart w:id="168" w:name="_Toc87641207"/>
      <w:r>
        <w:rPr>
          <w:rFonts w:hint="eastAsia"/>
        </w:rPr>
        <w:t>首轮报价表格式</w:t>
      </w:r>
      <w:bookmarkEnd w:id="166"/>
      <w:bookmarkEnd w:id="167"/>
      <w:bookmarkEnd w:id="168"/>
    </w:p>
    <w:tbl>
      <w:tblPr>
        <w:tblStyle w:val="31"/>
        <w:tblW w:w="947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42"/>
        <w:gridCol w:w="1312"/>
        <w:gridCol w:w="2160"/>
        <w:gridCol w:w="496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15" w:hRule="atLeast"/>
          <w:jc w:val="center"/>
        </w:trPr>
        <w:tc>
          <w:tcPr>
            <w:tcW w:w="1042" w:type="dxa"/>
            <w:vAlign w:val="center"/>
          </w:tcPr>
          <w:p>
            <w:pPr>
              <w:pStyle w:val="51"/>
              <w:jc w:val="center"/>
            </w:pPr>
            <w:r>
              <w:rPr>
                <w:rFonts w:hint="eastAsia"/>
              </w:rPr>
              <w:t>序号</w:t>
            </w:r>
          </w:p>
        </w:tc>
        <w:tc>
          <w:tcPr>
            <w:tcW w:w="3472" w:type="dxa"/>
            <w:gridSpan w:val="2"/>
            <w:vAlign w:val="center"/>
          </w:tcPr>
          <w:p>
            <w:pPr>
              <w:pStyle w:val="51"/>
              <w:jc w:val="center"/>
              <w:rPr>
                <w:szCs w:val="24"/>
              </w:rPr>
            </w:pPr>
            <w:r>
              <w:rPr>
                <w:rFonts w:hint="eastAsia"/>
                <w:szCs w:val="24"/>
              </w:rPr>
              <w:t>服务内容</w:t>
            </w:r>
          </w:p>
        </w:tc>
        <w:tc>
          <w:tcPr>
            <w:tcW w:w="4960" w:type="dxa"/>
            <w:vAlign w:val="center"/>
          </w:tcPr>
          <w:p>
            <w:pPr>
              <w:pStyle w:val="51"/>
              <w:jc w:val="center"/>
              <w:rPr>
                <w:szCs w:val="24"/>
              </w:rPr>
            </w:pPr>
            <w:r>
              <w:rPr>
                <w:rFonts w:hint="eastAsia"/>
                <w:szCs w:val="24"/>
              </w:rPr>
              <w:t>单项价格（单位：元）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1042" w:type="dxa"/>
            <w:vAlign w:val="center"/>
          </w:tcPr>
          <w:p>
            <w:pPr>
              <w:pStyle w:val="51"/>
              <w:jc w:val="center"/>
              <w:rPr>
                <w:rStyle w:val="39"/>
              </w:rPr>
            </w:pPr>
            <w:r>
              <w:rPr>
                <w:rStyle w:val="39"/>
                <w:rFonts w:hint="eastAsia"/>
              </w:rPr>
              <w:t>1</w:t>
            </w:r>
          </w:p>
        </w:tc>
        <w:tc>
          <w:tcPr>
            <w:tcW w:w="3472" w:type="dxa"/>
            <w:gridSpan w:val="2"/>
            <w:vAlign w:val="center"/>
          </w:tcPr>
          <w:p>
            <w:pPr>
              <w:pStyle w:val="51"/>
              <w:jc w:val="center"/>
              <w:rPr>
                <w:szCs w:val="24"/>
              </w:rPr>
            </w:pPr>
          </w:p>
        </w:tc>
        <w:tc>
          <w:tcPr>
            <w:tcW w:w="4960" w:type="dxa"/>
            <w:vAlign w:val="center"/>
          </w:tcPr>
          <w:p>
            <w:pPr>
              <w:pStyle w:val="51"/>
              <w:jc w:val="center"/>
              <w:rPr>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1042" w:type="dxa"/>
            <w:vAlign w:val="center"/>
          </w:tcPr>
          <w:p>
            <w:pPr>
              <w:pStyle w:val="51"/>
              <w:jc w:val="center"/>
              <w:rPr>
                <w:rStyle w:val="39"/>
              </w:rPr>
            </w:pPr>
            <w:r>
              <w:rPr>
                <w:rStyle w:val="39"/>
                <w:rFonts w:hint="eastAsia"/>
              </w:rPr>
              <w:t>2</w:t>
            </w:r>
          </w:p>
        </w:tc>
        <w:tc>
          <w:tcPr>
            <w:tcW w:w="3472" w:type="dxa"/>
            <w:gridSpan w:val="2"/>
            <w:vAlign w:val="center"/>
          </w:tcPr>
          <w:p>
            <w:pPr>
              <w:pStyle w:val="51"/>
              <w:jc w:val="center"/>
              <w:rPr>
                <w:szCs w:val="24"/>
              </w:rPr>
            </w:pPr>
          </w:p>
        </w:tc>
        <w:tc>
          <w:tcPr>
            <w:tcW w:w="4960" w:type="dxa"/>
            <w:vAlign w:val="center"/>
          </w:tcPr>
          <w:p>
            <w:pPr>
              <w:pStyle w:val="51"/>
              <w:jc w:val="center"/>
              <w:rPr>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1042" w:type="dxa"/>
            <w:vAlign w:val="center"/>
          </w:tcPr>
          <w:p>
            <w:pPr>
              <w:pStyle w:val="51"/>
              <w:jc w:val="center"/>
              <w:rPr>
                <w:rStyle w:val="39"/>
              </w:rPr>
            </w:pPr>
            <w:r>
              <w:rPr>
                <w:rStyle w:val="39"/>
                <w:rFonts w:hint="eastAsia"/>
              </w:rPr>
              <w:t>3</w:t>
            </w:r>
          </w:p>
        </w:tc>
        <w:tc>
          <w:tcPr>
            <w:tcW w:w="3472" w:type="dxa"/>
            <w:gridSpan w:val="2"/>
            <w:vAlign w:val="center"/>
          </w:tcPr>
          <w:p>
            <w:pPr>
              <w:pStyle w:val="51"/>
              <w:jc w:val="center"/>
              <w:rPr>
                <w:szCs w:val="24"/>
              </w:rPr>
            </w:pPr>
          </w:p>
        </w:tc>
        <w:tc>
          <w:tcPr>
            <w:tcW w:w="4960" w:type="dxa"/>
            <w:vAlign w:val="center"/>
          </w:tcPr>
          <w:p>
            <w:pPr>
              <w:pStyle w:val="51"/>
              <w:jc w:val="center"/>
              <w:rPr>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1042" w:type="dxa"/>
            <w:vAlign w:val="center"/>
          </w:tcPr>
          <w:p>
            <w:pPr>
              <w:pStyle w:val="51"/>
              <w:jc w:val="center"/>
              <w:rPr>
                <w:rStyle w:val="39"/>
              </w:rPr>
            </w:pPr>
            <w:r>
              <w:rPr>
                <w:rStyle w:val="39"/>
              </w:rPr>
              <w:t>…</w:t>
            </w:r>
          </w:p>
        </w:tc>
        <w:tc>
          <w:tcPr>
            <w:tcW w:w="3472" w:type="dxa"/>
            <w:gridSpan w:val="2"/>
            <w:vAlign w:val="center"/>
          </w:tcPr>
          <w:p>
            <w:pPr>
              <w:pStyle w:val="51"/>
              <w:jc w:val="center"/>
              <w:rPr>
                <w:szCs w:val="24"/>
              </w:rPr>
            </w:pPr>
          </w:p>
        </w:tc>
        <w:tc>
          <w:tcPr>
            <w:tcW w:w="4960" w:type="dxa"/>
            <w:vAlign w:val="center"/>
          </w:tcPr>
          <w:p>
            <w:pPr>
              <w:pStyle w:val="51"/>
              <w:jc w:val="center"/>
              <w:rPr>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1042" w:type="dxa"/>
            <w:vAlign w:val="center"/>
          </w:tcPr>
          <w:p>
            <w:pPr>
              <w:pStyle w:val="51"/>
              <w:jc w:val="center"/>
              <w:rPr>
                <w:rStyle w:val="39"/>
              </w:rPr>
            </w:pPr>
          </w:p>
        </w:tc>
        <w:tc>
          <w:tcPr>
            <w:tcW w:w="3472" w:type="dxa"/>
            <w:gridSpan w:val="2"/>
            <w:vAlign w:val="center"/>
          </w:tcPr>
          <w:p>
            <w:pPr>
              <w:pStyle w:val="51"/>
              <w:jc w:val="center"/>
              <w:rPr>
                <w:szCs w:val="24"/>
              </w:rPr>
            </w:pPr>
          </w:p>
        </w:tc>
        <w:tc>
          <w:tcPr>
            <w:tcW w:w="4960" w:type="dxa"/>
            <w:vAlign w:val="center"/>
          </w:tcPr>
          <w:p>
            <w:pPr>
              <w:pStyle w:val="51"/>
              <w:jc w:val="center"/>
              <w:rPr>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1042" w:type="dxa"/>
            <w:vAlign w:val="center"/>
          </w:tcPr>
          <w:p>
            <w:pPr>
              <w:pStyle w:val="51"/>
              <w:jc w:val="center"/>
              <w:rPr>
                <w:rStyle w:val="39"/>
              </w:rPr>
            </w:pPr>
          </w:p>
        </w:tc>
        <w:tc>
          <w:tcPr>
            <w:tcW w:w="3472" w:type="dxa"/>
            <w:gridSpan w:val="2"/>
            <w:vAlign w:val="center"/>
          </w:tcPr>
          <w:p>
            <w:pPr>
              <w:pStyle w:val="51"/>
              <w:jc w:val="center"/>
              <w:rPr>
                <w:szCs w:val="24"/>
              </w:rPr>
            </w:pPr>
          </w:p>
        </w:tc>
        <w:tc>
          <w:tcPr>
            <w:tcW w:w="4960" w:type="dxa"/>
            <w:vAlign w:val="center"/>
          </w:tcPr>
          <w:p>
            <w:pPr>
              <w:pStyle w:val="51"/>
              <w:jc w:val="center"/>
              <w:rPr>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1042" w:type="dxa"/>
            <w:vAlign w:val="center"/>
          </w:tcPr>
          <w:p>
            <w:pPr>
              <w:pStyle w:val="51"/>
              <w:jc w:val="center"/>
              <w:rPr>
                <w:rStyle w:val="39"/>
              </w:rPr>
            </w:pPr>
          </w:p>
        </w:tc>
        <w:tc>
          <w:tcPr>
            <w:tcW w:w="3472" w:type="dxa"/>
            <w:gridSpan w:val="2"/>
            <w:vAlign w:val="center"/>
          </w:tcPr>
          <w:p>
            <w:pPr>
              <w:pStyle w:val="51"/>
              <w:jc w:val="center"/>
              <w:rPr>
                <w:szCs w:val="24"/>
              </w:rPr>
            </w:pPr>
          </w:p>
        </w:tc>
        <w:tc>
          <w:tcPr>
            <w:tcW w:w="4960" w:type="dxa"/>
            <w:vAlign w:val="center"/>
          </w:tcPr>
          <w:p>
            <w:pPr>
              <w:pStyle w:val="51"/>
              <w:jc w:val="center"/>
              <w:rPr>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1042" w:type="dxa"/>
            <w:vAlign w:val="center"/>
          </w:tcPr>
          <w:p>
            <w:pPr>
              <w:pStyle w:val="51"/>
              <w:jc w:val="center"/>
              <w:rPr>
                <w:rStyle w:val="39"/>
              </w:rPr>
            </w:pPr>
          </w:p>
        </w:tc>
        <w:tc>
          <w:tcPr>
            <w:tcW w:w="3472" w:type="dxa"/>
            <w:gridSpan w:val="2"/>
            <w:vAlign w:val="center"/>
          </w:tcPr>
          <w:p>
            <w:pPr>
              <w:pStyle w:val="51"/>
              <w:jc w:val="center"/>
              <w:rPr>
                <w:szCs w:val="24"/>
              </w:rPr>
            </w:pPr>
          </w:p>
        </w:tc>
        <w:tc>
          <w:tcPr>
            <w:tcW w:w="4960" w:type="dxa"/>
            <w:vAlign w:val="center"/>
          </w:tcPr>
          <w:p>
            <w:pPr>
              <w:pStyle w:val="51"/>
              <w:jc w:val="center"/>
              <w:rPr>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1042" w:type="dxa"/>
            <w:vAlign w:val="center"/>
          </w:tcPr>
          <w:p>
            <w:pPr>
              <w:pStyle w:val="51"/>
              <w:jc w:val="center"/>
              <w:rPr>
                <w:rStyle w:val="39"/>
              </w:rPr>
            </w:pPr>
          </w:p>
        </w:tc>
        <w:tc>
          <w:tcPr>
            <w:tcW w:w="3472" w:type="dxa"/>
            <w:gridSpan w:val="2"/>
            <w:vAlign w:val="center"/>
          </w:tcPr>
          <w:p>
            <w:pPr>
              <w:pStyle w:val="51"/>
              <w:jc w:val="center"/>
              <w:rPr>
                <w:szCs w:val="24"/>
              </w:rPr>
            </w:pPr>
          </w:p>
        </w:tc>
        <w:tc>
          <w:tcPr>
            <w:tcW w:w="4960" w:type="dxa"/>
            <w:vAlign w:val="center"/>
          </w:tcPr>
          <w:p>
            <w:pPr>
              <w:pStyle w:val="51"/>
              <w:jc w:val="center"/>
              <w:rPr>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1042" w:type="dxa"/>
            <w:vAlign w:val="center"/>
          </w:tcPr>
          <w:p>
            <w:pPr>
              <w:pStyle w:val="51"/>
              <w:jc w:val="center"/>
              <w:rPr>
                <w:rStyle w:val="39"/>
              </w:rPr>
            </w:pPr>
          </w:p>
        </w:tc>
        <w:tc>
          <w:tcPr>
            <w:tcW w:w="3472" w:type="dxa"/>
            <w:gridSpan w:val="2"/>
            <w:vAlign w:val="center"/>
          </w:tcPr>
          <w:p>
            <w:pPr>
              <w:pStyle w:val="51"/>
              <w:jc w:val="center"/>
              <w:rPr>
                <w:szCs w:val="24"/>
              </w:rPr>
            </w:pPr>
          </w:p>
        </w:tc>
        <w:tc>
          <w:tcPr>
            <w:tcW w:w="4960" w:type="dxa"/>
            <w:vAlign w:val="center"/>
          </w:tcPr>
          <w:p>
            <w:pPr>
              <w:pStyle w:val="51"/>
              <w:jc w:val="center"/>
              <w:rPr>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1042" w:type="dxa"/>
            <w:vAlign w:val="center"/>
          </w:tcPr>
          <w:p>
            <w:pPr>
              <w:pStyle w:val="51"/>
              <w:jc w:val="center"/>
              <w:rPr>
                <w:rStyle w:val="39"/>
              </w:rPr>
            </w:pPr>
          </w:p>
        </w:tc>
        <w:tc>
          <w:tcPr>
            <w:tcW w:w="3472" w:type="dxa"/>
            <w:gridSpan w:val="2"/>
            <w:vAlign w:val="center"/>
          </w:tcPr>
          <w:p>
            <w:pPr>
              <w:pStyle w:val="51"/>
              <w:jc w:val="center"/>
              <w:rPr>
                <w:szCs w:val="24"/>
              </w:rPr>
            </w:pPr>
          </w:p>
        </w:tc>
        <w:tc>
          <w:tcPr>
            <w:tcW w:w="4960" w:type="dxa"/>
            <w:vAlign w:val="center"/>
          </w:tcPr>
          <w:p>
            <w:pPr>
              <w:pStyle w:val="51"/>
              <w:jc w:val="center"/>
              <w:rPr>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8" w:hRule="atLeast"/>
          <w:jc w:val="center"/>
        </w:trPr>
        <w:tc>
          <w:tcPr>
            <w:tcW w:w="2354" w:type="dxa"/>
            <w:gridSpan w:val="2"/>
            <w:tcBorders>
              <w:right w:val="single" w:color="auto" w:sz="4" w:space="0"/>
            </w:tcBorders>
            <w:vAlign w:val="center"/>
          </w:tcPr>
          <w:p>
            <w:pPr>
              <w:pStyle w:val="51"/>
              <w:rPr>
                <w:b/>
                <w:szCs w:val="24"/>
              </w:rPr>
            </w:pPr>
            <w:r>
              <w:rPr>
                <w:rFonts w:hint="eastAsia"/>
                <w:b/>
                <w:szCs w:val="24"/>
              </w:rPr>
              <w:t>总    价</w:t>
            </w:r>
          </w:p>
        </w:tc>
        <w:tc>
          <w:tcPr>
            <w:tcW w:w="7120" w:type="dxa"/>
            <w:gridSpan w:val="2"/>
            <w:tcBorders>
              <w:left w:val="single" w:color="auto" w:sz="4" w:space="0"/>
            </w:tcBorders>
            <w:vAlign w:val="center"/>
          </w:tcPr>
          <w:p>
            <w:pPr>
              <w:pStyle w:val="51"/>
              <w:rPr>
                <w:szCs w:val="24"/>
              </w:rPr>
            </w:pPr>
            <w:r>
              <w:rPr>
                <w:rFonts w:hint="eastAsia"/>
                <w:b/>
              </w:rPr>
              <w:t>人民币大写：</w:t>
            </w:r>
            <w:r>
              <w:rPr>
                <w:rFonts w:hint="eastAsia"/>
                <w:b/>
                <w:u w:val="single"/>
              </w:rPr>
              <w:t xml:space="preserve">            </w:t>
            </w:r>
            <w:r>
              <w:rPr>
                <w:rFonts w:hint="eastAsia"/>
                <w:b/>
              </w:rPr>
              <w:t>元（人民币小写：</w:t>
            </w:r>
            <w:r>
              <w:rPr>
                <w:b/>
                <w:u w:val="single"/>
              </w:rPr>
              <w:t xml:space="preserve">            </w:t>
            </w:r>
            <w:r>
              <w:rPr>
                <w:rFonts w:hint="eastAsia"/>
                <w:b/>
              </w:rPr>
              <w:t>元）</w:t>
            </w:r>
          </w:p>
        </w:tc>
      </w:tr>
    </w:tbl>
    <w:p>
      <w:pPr>
        <w:spacing w:line="400" w:lineRule="exact"/>
        <w:ind w:right="240" w:firstLine="480"/>
        <w:rPr>
          <w:color w:val="000000"/>
        </w:rPr>
      </w:pPr>
      <w:r>
        <w:rPr>
          <w:rFonts w:hint="eastAsia"/>
          <w:color w:val="000000"/>
        </w:rPr>
        <w:t>注：供应商可以根据实际情况</w:t>
      </w:r>
      <w:r>
        <w:rPr>
          <w:color w:val="000000"/>
        </w:rPr>
        <w:t>增减表格行。</w:t>
      </w:r>
    </w:p>
    <w:p>
      <w:pPr>
        <w:autoSpaceDE w:val="0"/>
        <w:autoSpaceDN w:val="0"/>
        <w:adjustRightInd w:val="0"/>
        <w:ind w:right="240" w:firstLine="480"/>
        <w:rPr>
          <w:rFonts w:cs="仿宋_GB2312"/>
          <w:color w:val="000000"/>
          <w:kern w:val="0"/>
        </w:rPr>
      </w:pPr>
    </w:p>
    <w:p>
      <w:pPr>
        <w:autoSpaceDE w:val="0"/>
        <w:autoSpaceDN w:val="0"/>
        <w:adjustRightInd w:val="0"/>
        <w:ind w:right="240" w:firstLine="480"/>
        <w:rPr>
          <w:rFonts w:cs="仿宋_GB2312"/>
          <w:color w:val="000000"/>
          <w:kern w:val="0"/>
        </w:rPr>
      </w:pPr>
    </w:p>
    <w:p>
      <w:pPr>
        <w:autoSpaceDE w:val="0"/>
        <w:autoSpaceDN w:val="0"/>
        <w:adjustRightInd w:val="0"/>
        <w:ind w:right="240" w:firstLine="480"/>
        <w:rPr>
          <w:rFonts w:cs="仿宋_GB2312"/>
          <w:color w:val="000000"/>
          <w:kern w:val="0"/>
        </w:rPr>
      </w:pPr>
    </w:p>
    <w:p>
      <w:pPr>
        <w:ind w:right="240" w:firstLine="480"/>
      </w:pPr>
      <w:r>
        <w:rPr>
          <w:rFonts w:hint="eastAsia"/>
        </w:rPr>
        <w:t>供应商名称：XXXX（单位公章）。</w:t>
      </w:r>
    </w:p>
    <w:p>
      <w:pPr>
        <w:ind w:right="240" w:firstLine="480"/>
      </w:pPr>
      <w:r>
        <w:rPr>
          <w:rFonts w:hint="eastAsia"/>
        </w:rPr>
        <w:t>法定代表人或授权代表（签字或加盖个人名章）：XXXX。</w:t>
      </w:r>
    </w:p>
    <w:p>
      <w:pPr>
        <w:autoSpaceDE w:val="0"/>
        <w:autoSpaceDN w:val="0"/>
        <w:adjustRightInd w:val="0"/>
        <w:ind w:right="240" w:firstLine="480"/>
        <w:rPr>
          <w:rFonts w:cs="仿宋_GB2312"/>
          <w:color w:val="000000"/>
          <w:kern w:val="0"/>
          <w:u w:val="single"/>
        </w:rPr>
      </w:pPr>
      <w:r>
        <w:rPr>
          <w:rFonts w:hint="eastAsia"/>
        </w:rPr>
        <w:t>日    期：XXXX。</w:t>
      </w:r>
    </w:p>
    <w:p>
      <w:pPr>
        <w:ind w:right="240" w:firstLine="480"/>
      </w:pPr>
    </w:p>
    <w:p>
      <w:pPr>
        <w:widowControl/>
        <w:ind w:right="240" w:firstLine="480"/>
      </w:pPr>
      <w:r>
        <w:br w:type="page"/>
      </w:r>
    </w:p>
    <w:p>
      <w:pPr>
        <w:pStyle w:val="5"/>
      </w:pPr>
      <w:bookmarkStart w:id="169" w:name="_Toc87641208"/>
      <w:bookmarkStart w:id="170" w:name="_Toc91071131"/>
      <w:bookmarkStart w:id="171" w:name="_Toc88748268"/>
      <w:r>
        <w:rPr>
          <w:rFonts w:hint="eastAsia"/>
        </w:rPr>
        <w:t>服务、技术、商务应答表</w:t>
      </w:r>
      <w:r>
        <w:t>格式</w:t>
      </w:r>
      <w:bookmarkEnd w:id="169"/>
      <w:bookmarkEnd w:id="170"/>
      <w:bookmarkEnd w:id="171"/>
    </w:p>
    <w:p>
      <w:pPr>
        <w:autoSpaceDE w:val="0"/>
        <w:autoSpaceDN w:val="0"/>
        <w:adjustRightInd w:val="0"/>
        <w:ind w:right="240" w:firstLine="720"/>
        <w:jc w:val="center"/>
        <w:rPr>
          <w:rFonts w:cs="宋体"/>
          <w:color w:val="000000"/>
          <w:kern w:val="0"/>
          <w:u w:val="single"/>
        </w:rPr>
      </w:pPr>
      <w:r>
        <w:rPr>
          <w:rFonts w:hint="eastAsia"/>
          <w:color w:val="000000"/>
          <w:kern w:val="0"/>
          <w:sz w:val="36"/>
          <w:szCs w:val="36"/>
        </w:rPr>
        <w:t>服务、技术、商务应答表</w:t>
      </w:r>
    </w:p>
    <w:tbl>
      <w:tblPr>
        <w:tblStyle w:val="31"/>
        <w:tblpPr w:leftFromText="180" w:rightFromText="180" w:vertAnchor="text" w:horzAnchor="margin" w:tblpXSpec="center" w:tblpY="128"/>
        <w:tblW w:w="1110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9"/>
        <w:gridCol w:w="3241"/>
        <w:gridCol w:w="3510"/>
        <w:gridCol w:w="2365"/>
        <w:gridCol w:w="101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979" w:type="dxa"/>
            <w:vAlign w:val="center"/>
          </w:tcPr>
          <w:p>
            <w:pPr>
              <w:pStyle w:val="51"/>
              <w:jc w:val="center"/>
              <w:rPr>
                <w:sz w:val="18"/>
                <w:szCs w:val="18"/>
              </w:rPr>
            </w:pPr>
            <w:r>
              <w:t>序号</w:t>
            </w:r>
          </w:p>
        </w:tc>
        <w:tc>
          <w:tcPr>
            <w:tcW w:w="3241" w:type="dxa"/>
            <w:vAlign w:val="center"/>
          </w:tcPr>
          <w:p>
            <w:pPr>
              <w:pStyle w:val="51"/>
              <w:jc w:val="center"/>
              <w:rPr>
                <w:sz w:val="18"/>
                <w:szCs w:val="18"/>
              </w:rPr>
            </w:pPr>
            <w:r>
              <w:rPr>
                <w:rFonts w:hint="eastAsia"/>
              </w:rPr>
              <w:t>产品名称（服务内容）</w:t>
            </w:r>
          </w:p>
        </w:tc>
        <w:tc>
          <w:tcPr>
            <w:tcW w:w="3510" w:type="dxa"/>
            <w:vAlign w:val="center"/>
          </w:tcPr>
          <w:p>
            <w:pPr>
              <w:pStyle w:val="51"/>
              <w:jc w:val="center"/>
            </w:pPr>
            <w:r>
              <w:rPr>
                <w:rFonts w:hint="eastAsia"/>
              </w:rPr>
              <w:t>磋商文件</w:t>
            </w:r>
            <w:r>
              <w:t>的</w:t>
            </w:r>
            <w:r>
              <w:rPr>
                <w:rFonts w:hint="eastAsia"/>
              </w:rPr>
              <w:t>要求</w:t>
            </w:r>
          </w:p>
        </w:tc>
        <w:tc>
          <w:tcPr>
            <w:tcW w:w="2365" w:type="dxa"/>
            <w:vAlign w:val="center"/>
          </w:tcPr>
          <w:p>
            <w:pPr>
              <w:pStyle w:val="51"/>
              <w:jc w:val="center"/>
              <w:rPr>
                <w:sz w:val="18"/>
                <w:szCs w:val="18"/>
              </w:rPr>
            </w:pPr>
            <w:r>
              <w:rPr>
                <w:rFonts w:hint="eastAsia"/>
              </w:rPr>
              <w:t>应答</w:t>
            </w:r>
            <w:r>
              <w:t>响应</w:t>
            </w:r>
          </w:p>
        </w:tc>
        <w:tc>
          <w:tcPr>
            <w:tcW w:w="1012" w:type="dxa"/>
            <w:vAlign w:val="center"/>
          </w:tcPr>
          <w:p>
            <w:pPr>
              <w:pStyle w:val="51"/>
              <w:jc w:val="center"/>
              <w:rPr>
                <w:sz w:val="18"/>
                <w:szCs w:val="18"/>
              </w:rPr>
            </w:pPr>
            <w:r>
              <w:t>说明</w:t>
            </w:r>
            <w:r>
              <w:rPr>
                <w:rFonts w:hint="eastAsia"/>
              </w:rPr>
              <w:t>（偏离情况）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9" w:hRule="atLeast"/>
        </w:trPr>
        <w:tc>
          <w:tcPr>
            <w:tcW w:w="979" w:type="dxa"/>
            <w:vAlign w:val="center"/>
          </w:tcPr>
          <w:p>
            <w:pPr>
              <w:pStyle w:val="51"/>
              <w:jc w:val="center"/>
              <w:rPr>
                <w:sz w:val="18"/>
                <w:szCs w:val="18"/>
              </w:rPr>
            </w:pPr>
          </w:p>
        </w:tc>
        <w:tc>
          <w:tcPr>
            <w:tcW w:w="3241" w:type="dxa"/>
            <w:vAlign w:val="center"/>
          </w:tcPr>
          <w:p>
            <w:pPr>
              <w:pStyle w:val="51"/>
              <w:jc w:val="center"/>
              <w:rPr>
                <w:sz w:val="18"/>
                <w:szCs w:val="18"/>
              </w:rPr>
            </w:pPr>
          </w:p>
        </w:tc>
        <w:tc>
          <w:tcPr>
            <w:tcW w:w="3510" w:type="dxa"/>
            <w:vAlign w:val="center"/>
          </w:tcPr>
          <w:p>
            <w:pPr>
              <w:pStyle w:val="51"/>
              <w:jc w:val="center"/>
              <w:rPr>
                <w:sz w:val="18"/>
                <w:szCs w:val="18"/>
              </w:rPr>
            </w:pPr>
          </w:p>
        </w:tc>
        <w:tc>
          <w:tcPr>
            <w:tcW w:w="2365" w:type="dxa"/>
            <w:vAlign w:val="center"/>
          </w:tcPr>
          <w:p>
            <w:pPr>
              <w:pStyle w:val="51"/>
              <w:jc w:val="center"/>
              <w:rPr>
                <w:sz w:val="18"/>
                <w:szCs w:val="18"/>
              </w:rPr>
            </w:pPr>
          </w:p>
        </w:tc>
        <w:tc>
          <w:tcPr>
            <w:tcW w:w="1012" w:type="dxa"/>
            <w:vAlign w:val="center"/>
          </w:tcPr>
          <w:p>
            <w:pPr>
              <w:pStyle w:val="51"/>
              <w:jc w:val="center"/>
              <w:rPr>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979" w:type="dxa"/>
            <w:vAlign w:val="center"/>
          </w:tcPr>
          <w:p>
            <w:pPr>
              <w:pStyle w:val="51"/>
              <w:jc w:val="center"/>
              <w:rPr>
                <w:sz w:val="18"/>
                <w:szCs w:val="18"/>
              </w:rPr>
            </w:pPr>
          </w:p>
        </w:tc>
        <w:tc>
          <w:tcPr>
            <w:tcW w:w="3241" w:type="dxa"/>
            <w:vAlign w:val="center"/>
          </w:tcPr>
          <w:p>
            <w:pPr>
              <w:pStyle w:val="51"/>
              <w:jc w:val="center"/>
              <w:rPr>
                <w:sz w:val="18"/>
                <w:szCs w:val="18"/>
              </w:rPr>
            </w:pPr>
          </w:p>
        </w:tc>
        <w:tc>
          <w:tcPr>
            <w:tcW w:w="3510" w:type="dxa"/>
            <w:vAlign w:val="center"/>
          </w:tcPr>
          <w:p>
            <w:pPr>
              <w:pStyle w:val="51"/>
              <w:jc w:val="center"/>
              <w:rPr>
                <w:sz w:val="18"/>
                <w:szCs w:val="18"/>
              </w:rPr>
            </w:pPr>
          </w:p>
        </w:tc>
        <w:tc>
          <w:tcPr>
            <w:tcW w:w="2365" w:type="dxa"/>
            <w:vAlign w:val="center"/>
          </w:tcPr>
          <w:p>
            <w:pPr>
              <w:pStyle w:val="51"/>
              <w:jc w:val="center"/>
              <w:rPr>
                <w:sz w:val="18"/>
                <w:szCs w:val="18"/>
              </w:rPr>
            </w:pPr>
          </w:p>
        </w:tc>
        <w:tc>
          <w:tcPr>
            <w:tcW w:w="1012" w:type="dxa"/>
            <w:vAlign w:val="center"/>
          </w:tcPr>
          <w:p>
            <w:pPr>
              <w:pStyle w:val="51"/>
              <w:jc w:val="center"/>
              <w:rPr>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979" w:type="dxa"/>
            <w:vAlign w:val="center"/>
          </w:tcPr>
          <w:p>
            <w:pPr>
              <w:pStyle w:val="51"/>
              <w:jc w:val="center"/>
              <w:rPr>
                <w:sz w:val="18"/>
                <w:szCs w:val="18"/>
              </w:rPr>
            </w:pPr>
          </w:p>
        </w:tc>
        <w:tc>
          <w:tcPr>
            <w:tcW w:w="3241" w:type="dxa"/>
            <w:vAlign w:val="center"/>
          </w:tcPr>
          <w:p>
            <w:pPr>
              <w:pStyle w:val="51"/>
              <w:jc w:val="center"/>
              <w:rPr>
                <w:sz w:val="18"/>
                <w:szCs w:val="18"/>
              </w:rPr>
            </w:pPr>
          </w:p>
        </w:tc>
        <w:tc>
          <w:tcPr>
            <w:tcW w:w="3510" w:type="dxa"/>
            <w:vAlign w:val="center"/>
          </w:tcPr>
          <w:p>
            <w:pPr>
              <w:pStyle w:val="51"/>
              <w:jc w:val="center"/>
              <w:rPr>
                <w:sz w:val="18"/>
                <w:szCs w:val="18"/>
              </w:rPr>
            </w:pPr>
          </w:p>
        </w:tc>
        <w:tc>
          <w:tcPr>
            <w:tcW w:w="2365" w:type="dxa"/>
            <w:vAlign w:val="center"/>
          </w:tcPr>
          <w:p>
            <w:pPr>
              <w:pStyle w:val="51"/>
              <w:jc w:val="center"/>
              <w:rPr>
                <w:sz w:val="18"/>
                <w:szCs w:val="18"/>
              </w:rPr>
            </w:pPr>
          </w:p>
        </w:tc>
        <w:tc>
          <w:tcPr>
            <w:tcW w:w="1012" w:type="dxa"/>
            <w:vAlign w:val="center"/>
          </w:tcPr>
          <w:p>
            <w:pPr>
              <w:pStyle w:val="51"/>
              <w:jc w:val="center"/>
              <w:rPr>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9" w:hRule="atLeast"/>
        </w:trPr>
        <w:tc>
          <w:tcPr>
            <w:tcW w:w="979" w:type="dxa"/>
            <w:vAlign w:val="center"/>
          </w:tcPr>
          <w:p>
            <w:pPr>
              <w:pStyle w:val="51"/>
              <w:jc w:val="center"/>
              <w:rPr>
                <w:sz w:val="18"/>
                <w:szCs w:val="18"/>
              </w:rPr>
            </w:pPr>
          </w:p>
        </w:tc>
        <w:tc>
          <w:tcPr>
            <w:tcW w:w="3241" w:type="dxa"/>
            <w:vAlign w:val="center"/>
          </w:tcPr>
          <w:p>
            <w:pPr>
              <w:pStyle w:val="51"/>
              <w:jc w:val="center"/>
              <w:rPr>
                <w:sz w:val="18"/>
                <w:szCs w:val="18"/>
              </w:rPr>
            </w:pPr>
          </w:p>
        </w:tc>
        <w:tc>
          <w:tcPr>
            <w:tcW w:w="3510" w:type="dxa"/>
            <w:vAlign w:val="center"/>
          </w:tcPr>
          <w:p>
            <w:pPr>
              <w:pStyle w:val="51"/>
              <w:jc w:val="center"/>
              <w:rPr>
                <w:sz w:val="18"/>
                <w:szCs w:val="18"/>
              </w:rPr>
            </w:pPr>
          </w:p>
        </w:tc>
        <w:tc>
          <w:tcPr>
            <w:tcW w:w="2365" w:type="dxa"/>
            <w:vAlign w:val="center"/>
          </w:tcPr>
          <w:p>
            <w:pPr>
              <w:pStyle w:val="51"/>
              <w:jc w:val="center"/>
              <w:rPr>
                <w:sz w:val="18"/>
                <w:szCs w:val="18"/>
              </w:rPr>
            </w:pPr>
          </w:p>
        </w:tc>
        <w:tc>
          <w:tcPr>
            <w:tcW w:w="1012" w:type="dxa"/>
            <w:vAlign w:val="center"/>
          </w:tcPr>
          <w:p>
            <w:pPr>
              <w:pStyle w:val="51"/>
              <w:jc w:val="center"/>
              <w:rPr>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979" w:type="dxa"/>
            <w:vAlign w:val="center"/>
          </w:tcPr>
          <w:p>
            <w:pPr>
              <w:pStyle w:val="51"/>
              <w:jc w:val="center"/>
              <w:rPr>
                <w:sz w:val="18"/>
                <w:szCs w:val="18"/>
              </w:rPr>
            </w:pPr>
          </w:p>
        </w:tc>
        <w:tc>
          <w:tcPr>
            <w:tcW w:w="3241" w:type="dxa"/>
            <w:vAlign w:val="center"/>
          </w:tcPr>
          <w:p>
            <w:pPr>
              <w:pStyle w:val="51"/>
              <w:jc w:val="center"/>
              <w:rPr>
                <w:sz w:val="18"/>
                <w:szCs w:val="18"/>
              </w:rPr>
            </w:pPr>
          </w:p>
        </w:tc>
        <w:tc>
          <w:tcPr>
            <w:tcW w:w="3510" w:type="dxa"/>
            <w:vAlign w:val="center"/>
          </w:tcPr>
          <w:p>
            <w:pPr>
              <w:pStyle w:val="51"/>
              <w:jc w:val="center"/>
              <w:rPr>
                <w:sz w:val="18"/>
                <w:szCs w:val="18"/>
              </w:rPr>
            </w:pPr>
          </w:p>
        </w:tc>
        <w:tc>
          <w:tcPr>
            <w:tcW w:w="2365" w:type="dxa"/>
            <w:vAlign w:val="center"/>
          </w:tcPr>
          <w:p>
            <w:pPr>
              <w:pStyle w:val="51"/>
              <w:jc w:val="center"/>
              <w:rPr>
                <w:sz w:val="18"/>
                <w:szCs w:val="18"/>
              </w:rPr>
            </w:pPr>
          </w:p>
        </w:tc>
        <w:tc>
          <w:tcPr>
            <w:tcW w:w="1012" w:type="dxa"/>
            <w:vAlign w:val="center"/>
          </w:tcPr>
          <w:p>
            <w:pPr>
              <w:pStyle w:val="51"/>
              <w:jc w:val="center"/>
              <w:rPr>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979" w:type="dxa"/>
            <w:vAlign w:val="center"/>
          </w:tcPr>
          <w:p>
            <w:pPr>
              <w:pStyle w:val="51"/>
              <w:jc w:val="center"/>
              <w:rPr>
                <w:sz w:val="18"/>
                <w:szCs w:val="18"/>
              </w:rPr>
            </w:pPr>
          </w:p>
        </w:tc>
        <w:tc>
          <w:tcPr>
            <w:tcW w:w="3241" w:type="dxa"/>
            <w:vAlign w:val="center"/>
          </w:tcPr>
          <w:p>
            <w:pPr>
              <w:pStyle w:val="51"/>
              <w:jc w:val="center"/>
              <w:rPr>
                <w:sz w:val="18"/>
                <w:szCs w:val="18"/>
              </w:rPr>
            </w:pPr>
          </w:p>
        </w:tc>
        <w:tc>
          <w:tcPr>
            <w:tcW w:w="3510" w:type="dxa"/>
            <w:vAlign w:val="center"/>
          </w:tcPr>
          <w:p>
            <w:pPr>
              <w:pStyle w:val="51"/>
              <w:jc w:val="center"/>
              <w:rPr>
                <w:sz w:val="18"/>
                <w:szCs w:val="18"/>
              </w:rPr>
            </w:pPr>
          </w:p>
        </w:tc>
        <w:tc>
          <w:tcPr>
            <w:tcW w:w="2365" w:type="dxa"/>
            <w:vAlign w:val="center"/>
          </w:tcPr>
          <w:p>
            <w:pPr>
              <w:pStyle w:val="51"/>
              <w:jc w:val="center"/>
              <w:rPr>
                <w:sz w:val="18"/>
                <w:szCs w:val="18"/>
              </w:rPr>
            </w:pPr>
          </w:p>
        </w:tc>
        <w:tc>
          <w:tcPr>
            <w:tcW w:w="1012" w:type="dxa"/>
            <w:vAlign w:val="center"/>
          </w:tcPr>
          <w:p>
            <w:pPr>
              <w:pStyle w:val="51"/>
              <w:jc w:val="center"/>
              <w:rPr>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9" w:hRule="atLeast"/>
        </w:trPr>
        <w:tc>
          <w:tcPr>
            <w:tcW w:w="979" w:type="dxa"/>
            <w:vAlign w:val="center"/>
          </w:tcPr>
          <w:p>
            <w:pPr>
              <w:pStyle w:val="51"/>
              <w:jc w:val="center"/>
              <w:rPr>
                <w:sz w:val="18"/>
                <w:szCs w:val="18"/>
              </w:rPr>
            </w:pPr>
          </w:p>
        </w:tc>
        <w:tc>
          <w:tcPr>
            <w:tcW w:w="3241" w:type="dxa"/>
            <w:vAlign w:val="center"/>
          </w:tcPr>
          <w:p>
            <w:pPr>
              <w:pStyle w:val="51"/>
              <w:jc w:val="center"/>
              <w:rPr>
                <w:sz w:val="18"/>
                <w:szCs w:val="18"/>
              </w:rPr>
            </w:pPr>
          </w:p>
        </w:tc>
        <w:tc>
          <w:tcPr>
            <w:tcW w:w="3510" w:type="dxa"/>
            <w:vAlign w:val="center"/>
          </w:tcPr>
          <w:p>
            <w:pPr>
              <w:pStyle w:val="51"/>
              <w:jc w:val="center"/>
              <w:rPr>
                <w:sz w:val="18"/>
                <w:szCs w:val="18"/>
              </w:rPr>
            </w:pPr>
          </w:p>
        </w:tc>
        <w:tc>
          <w:tcPr>
            <w:tcW w:w="2365" w:type="dxa"/>
            <w:vAlign w:val="center"/>
          </w:tcPr>
          <w:p>
            <w:pPr>
              <w:pStyle w:val="51"/>
              <w:jc w:val="center"/>
              <w:rPr>
                <w:sz w:val="18"/>
                <w:szCs w:val="18"/>
              </w:rPr>
            </w:pPr>
          </w:p>
        </w:tc>
        <w:tc>
          <w:tcPr>
            <w:tcW w:w="1012" w:type="dxa"/>
            <w:vAlign w:val="center"/>
          </w:tcPr>
          <w:p>
            <w:pPr>
              <w:pStyle w:val="51"/>
              <w:jc w:val="center"/>
              <w:rPr>
                <w:sz w:val="18"/>
                <w:szCs w:val="1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9" w:hRule="atLeast"/>
        </w:trPr>
        <w:tc>
          <w:tcPr>
            <w:tcW w:w="979" w:type="dxa"/>
            <w:vAlign w:val="center"/>
          </w:tcPr>
          <w:p>
            <w:pPr>
              <w:pStyle w:val="51"/>
              <w:jc w:val="center"/>
              <w:rPr>
                <w:sz w:val="18"/>
                <w:szCs w:val="18"/>
              </w:rPr>
            </w:pPr>
          </w:p>
        </w:tc>
        <w:tc>
          <w:tcPr>
            <w:tcW w:w="3241" w:type="dxa"/>
            <w:vAlign w:val="center"/>
          </w:tcPr>
          <w:p>
            <w:pPr>
              <w:pStyle w:val="51"/>
              <w:jc w:val="center"/>
              <w:rPr>
                <w:sz w:val="18"/>
                <w:szCs w:val="18"/>
              </w:rPr>
            </w:pPr>
          </w:p>
        </w:tc>
        <w:tc>
          <w:tcPr>
            <w:tcW w:w="3510" w:type="dxa"/>
            <w:vAlign w:val="center"/>
          </w:tcPr>
          <w:p>
            <w:pPr>
              <w:pStyle w:val="51"/>
              <w:jc w:val="center"/>
              <w:rPr>
                <w:sz w:val="18"/>
                <w:szCs w:val="18"/>
              </w:rPr>
            </w:pPr>
          </w:p>
        </w:tc>
        <w:tc>
          <w:tcPr>
            <w:tcW w:w="2365" w:type="dxa"/>
            <w:vAlign w:val="center"/>
          </w:tcPr>
          <w:p>
            <w:pPr>
              <w:pStyle w:val="51"/>
              <w:jc w:val="center"/>
              <w:rPr>
                <w:sz w:val="18"/>
                <w:szCs w:val="18"/>
              </w:rPr>
            </w:pPr>
          </w:p>
        </w:tc>
        <w:tc>
          <w:tcPr>
            <w:tcW w:w="1012" w:type="dxa"/>
            <w:vAlign w:val="center"/>
          </w:tcPr>
          <w:p>
            <w:pPr>
              <w:pStyle w:val="51"/>
              <w:jc w:val="center"/>
              <w:rPr>
                <w:sz w:val="18"/>
                <w:szCs w:val="18"/>
              </w:rPr>
            </w:pPr>
          </w:p>
        </w:tc>
      </w:tr>
    </w:tbl>
    <w:p>
      <w:pPr>
        <w:autoSpaceDE w:val="0"/>
        <w:autoSpaceDN w:val="0"/>
        <w:adjustRightInd w:val="0"/>
        <w:ind w:right="240" w:firstLine="480"/>
        <w:rPr>
          <w:rFonts w:cs="宋体"/>
          <w:color w:val="000000"/>
          <w:kern w:val="0"/>
        </w:rPr>
      </w:pPr>
      <w:r>
        <w:rPr>
          <w:rFonts w:hint="eastAsia" w:cs="宋体"/>
          <w:color w:val="000000"/>
          <w:kern w:val="0"/>
        </w:rPr>
        <w:t>注：供应商必须据实填写，不得虚假响应，虚假响应的，其响应文件无效并按规定追究其相关责任。供应商完全满足磋商文件服务、技术、商务要求相关条款的，可以不逐条应答，不影响其响应文件的有效性。如有偏离条款（包括正偏离和负偏离），请将偏离条款逐条应答。未明确应答的条款（包括磋商文件中非资格性审查的实质性条款及本章格式所附的“注”），均视为满足或默认磋商文件要求的最低要求。</w:t>
      </w:r>
      <w:r>
        <w:rPr>
          <w:rFonts w:cs="宋体"/>
          <w:color w:val="000000"/>
          <w:kern w:val="0"/>
        </w:rPr>
        <w:t xml:space="preserve">   </w:t>
      </w:r>
    </w:p>
    <w:p>
      <w:pPr>
        <w:autoSpaceDE w:val="0"/>
        <w:autoSpaceDN w:val="0"/>
        <w:adjustRightInd w:val="0"/>
        <w:ind w:right="240" w:firstLine="480"/>
        <w:rPr>
          <w:rFonts w:cs="宋体"/>
          <w:color w:val="000000"/>
          <w:kern w:val="0"/>
        </w:rPr>
      </w:pPr>
    </w:p>
    <w:p>
      <w:pPr>
        <w:autoSpaceDE w:val="0"/>
        <w:autoSpaceDN w:val="0"/>
        <w:adjustRightInd w:val="0"/>
        <w:ind w:right="240" w:firstLine="480"/>
        <w:rPr>
          <w:rFonts w:cs="宋体"/>
          <w:color w:val="000000"/>
          <w:kern w:val="0"/>
        </w:rPr>
      </w:pPr>
    </w:p>
    <w:p>
      <w:pPr>
        <w:ind w:right="240" w:firstLine="480"/>
      </w:pPr>
      <w:r>
        <w:rPr>
          <w:rFonts w:hint="eastAsia"/>
        </w:rPr>
        <w:t>供应商名称：XXXX（单位公章）。</w:t>
      </w:r>
    </w:p>
    <w:p>
      <w:pPr>
        <w:ind w:right="240" w:firstLine="480"/>
      </w:pPr>
      <w:r>
        <w:rPr>
          <w:rFonts w:hint="eastAsia"/>
        </w:rPr>
        <w:t>法定代表人或授权代表（签字或加盖个人名章）：XXXX。</w:t>
      </w:r>
    </w:p>
    <w:p>
      <w:pPr>
        <w:adjustRightInd w:val="0"/>
        <w:spacing w:line="400" w:lineRule="exact"/>
        <w:ind w:right="240" w:firstLine="480"/>
        <w:rPr>
          <w:bCs/>
          <w:color w:val="000000"/>
        </w:rPr>
      </w:pPr>
      <w:r>
        <w:rPr>
          <w:rFonts w:hint="eastAsia"/>
        </w:rPr>
        <w:t>日    期：XXXX。</w:t>
      </w:r>
    </w:p>
    <w:p>
      <w:pPr>
        <w:widowControl/>
        <w:spacing w:line="240" w:lineRule="auto"/>
        <w:ind w:firstLine="0" w:firstLineChars="0"/>
        <w:rPr>
          <w:rFonts w:cs="宋体"/>
          <w:color w:val="000000"/>
          <w:kern w:val="0"/>
        </w:rPr>
      </w:pPr>
      <w:r>
        <w:rPr>
          <w:rFonts w:cs="宋体"/>
          <w:color w:val="000000"/>
          <w:kern w:val="0"/>
        </w:rPr>
        <w:br w:type="page"/>
      </w:r>
    </w:p>
    <w:p>
      <w:pPr>
        <w:pStyle w:val="5"/>
      </w:pPr>
      <w:bookmarkStart w:id="172" w:name="_Toc440294498"/>
      <w:bookmarkStart w:id="173" w:name="_Toc466893729"/>
      <w:bookmarkStart w:id="174" w:name="_Toc87641209"/>
      <w:bookmarkStart w:id="175" w:name="_Toc466562884"/>
      <w:bookmarkStart w:id="176" w:name="_Toc239648617"/>
      <w:bookmarkStart w:id="177" w:name="_Toc239649329"/>
      <w:bookmarkStart w:id="178" w:name="_Toc91071132"/>
      <w:bookmarkStart w:id="179" w:name="_Toc239648883"/>
      <w:bookmarkStart w:id="180" w:name="_Toc11942"/>
      <w:bookmarkStart w:id="181" w:name="_Toc239651339"/>
      <w:bookmarkStart w:id="182" w:name="_Toc239649781"/>
      <w:bookmarkStart w:id="183" w:name="_Toc239822522"/>
      <w:bookmarkStart w:id="184" w:name="_Toc239649405"/>
      <w:bookmarkStart w:id="185" w:name="_Toc439771469"/>
      <w:bookmarkStart w:id="186" w:name="_Toc18972"/>
      <w:bookmarkStart w:id="187" w:name="_Toc88748269"/>
      <w:bookmarkStart w:id="188" w:name="_Toc474501725"/>
      <w:bookmarkStart w:id="189" w:name="_Toc15912"/>
      <w:bookmarkStart w:id="190" w:name="_Toc239822637"/>
      <w:bookmarkStart w:id="191" w:name="_Toc32633"/>
      <w:bookmarkStart w:id="192" w:name="_Toc466889940"/>
      <w:bookmarkStart w:id="193" w:name="_Toc8502"/>
      <w:bookmarkStart w:id="194" w:name="_Toc440294271"/>
      <w:bookmarkStart w:id="195" w:name="_Toc440385065"/>
      <w:bookmarkStart w:id="196" w:name="_Toc10300"/>
      <w:bookmarkStart w:id="197" w:name="_Toc239650620"/>
      <w:bookmarkStart w:id="198" w:name="_Toc15149"/>
      <w:r>
        <w:rPr>
          <w:rFonts w:hint="eastAsia"/>
        </w:rPr>
        <w:t>供应商</w:t>
      </w:r>
      <w:r>
        <w:t>单位基本情况表格式</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Start w:id="199" w:name="_Toc371931448"/>
      <w:bookmarkStart w:id="200" w:name="_Toc371004682"/>
    </w:p>
    <w:tbl>
      <w:tblPr>
        <w:tblStyle w:val="31"/>
        <w:tblW w:w="9131"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29"/>
        <w:gridCol w:w="1035"/>
        <w:gridCol w:w="1317"/>
        <w:gridCol w:w="1332"/>
        <w:gridCol w:w="8"/>
        <w:gridCol w:w="1409"/>
        <w:gridCol w:w="289"/>
        <w:gridCol w:w="959"/>
        <w:gridCol w:w="1153"/>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9" w:type="dxa"/>
            <w:vAlign w:val="center"/>
          </w:tcPr>
          <w:p>
            <w:pPr>
              <w:pStyle w:val="51"/>
            </w:pPr>
            <w:r>
              <w:rPr>
                <w:rFonts w:hint="eastAsia"/>
              </w:rPr>
              <w:t>供应商名称</w:t>
            </w:r>
          </w:p>
        </w:tc>
        <w:tc>
          <w:tcPr>
            <w:tcW w:w="7502" w:type="dxa"/>
            <w:gridSpan w:val="8"/>
            <w:vAlign w:val="center"/>
          </w:tcPr>
          <w:p>
            <w:pPr>
              <w:pStyle w:val="51"/>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9" w:type="dxa"/>
            <w:vAlign w:val="center"/>
          </w:tcPr>
          <w:p>
            <w:pPr>
              <w:pStyle w:val="51"/>
            </w:pPr>
            <w:r>
              <w:rPr>
                <w:rFonts w:hint="eastAsia"/>
              </w:rPr>
              <w:t>注册地址</w:t>
            </w:r>
          </w:p>
        </w:tc>
        <w:tc>
          <w:tcPr>
            <w:tcW w:w="3692" w:type="dxa"/>
            <w:gridSpan w:val="4"/>
            <w:vAlign w:val="center"/>
          </w:tcPr>
          <w:p>
            <w:pPr>
              <w:pStyle w:val="51"/>
            </w:pPr>
          </w:p>
        </w:tc>
        <w:tc>
          <w:tcPr>
            <w:tcW w:w="1409" w:type="dxa"/>
            <w:vAlign w:val="center"/>
          </w:tcPr>
          <w:p>
            <w:pPr>
              <w:pStyle w:val="51"/>
            </w:pPr>
            <w:r>
              <w:rPr>
                <w:rFonts w:hint="eastAsia"/>
              </w:rPr>
              <w:t>邮政编码</w:t>
            </w:r>
          </w:p>
        </w:tc>
        <w:tc>
          <w:tcPr>
            <w:tcW w:w="2401" w:type="dxa"/>
            <w:gridSpan w:val="3"/>
            <w:vAlign w:val="center"/>
          </w:tcPr>
          <w:p>
            <w:pPr>
              <w:pStyle w:val="51"/>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9" w:type="dxa"/>
            <w:vMerge w:val="restart"/>
            <w:vAlign w:val="center"/>
          </w:tcPr>
          <w:p>
            <w:pPr>
              <w:pStyle w:val="51"/>
            </w:pPr>
            <w:r>
              <w:rPr>
                <w:rFonts w:hint="eastAsia"/>
              </w:rPr>
              <w:t>联系方式</w:t>
            </w:r>
          </w:p>
        </w:tc>
        <w:tc>
          <w:tcPr>
            <w:tcW w:w="1035" w:type="dxa"/>
            <w:vAlign w:val="center"/>
          </w:tcPr>
          <w:p>
            <w:pPr>
              <w:pStyle w:val="51"/>
            </w:pPr>
            <w:r>
              <w:rPr>
                <w:rFonts w:hint="eastAsia"/>
              </w:rPr>
              <w:t>联系人</w:t>
            </w:r>
          </w:p>
        </w:tc>
        <w:tc>
          <w:tcPr>
            <w:tcW w:w="2649" w:type="dxa"/>
            <w:gridSpan w:val="2"/>
            <w:vAlign w:val="center"/>
          </w:tcPr>
          <w:p>
            <w:pPr>
              <w:pStyle w:val="51"/>
            </w:pPr>
          </w:p>
        </w:tc>
        <w:tc>
          <w:tcPr>
            <w:tcW w:w="1417" w:type="dxa"/>
            <w:gridSpan w:val="2"/>
            <w:vAlign w:val="center"/>
          </w:tcPr>
          <w:p>
            <w:pPr>
              <w:pStyle w:val="51"/>
            </w:pPr>
            <w:r>
              <w:rPr>
                <w:rFonts w:hint="eastAsia"/>
              </w:rPr>
              <w:t>电话</w:t>
            </w:r>
          </w:p>
        </w:tc>
        <w:tc>
          <w:tcPr>
            <w:tcW w:w="2401" w:type="dxa"/>
            <w:gridSpan w:val="3"/>
            <w:vAlign w:val="center"/>
          </w:tcPr>
          <w:p>
            <w:pPr>
              <w:pStyle w:val="51"/>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29" w:type="dxa"/>
            <w:vMerge w:val="continue"/>
            <w:vAlign w:val="center"/>
          </w:tcPr>
          <w:p>
            <w:pPr>
              <w:pStyle w:val="51"/>
            </w:pPr>
          </w:p>
        </w:tc>
        <w:tc>
          <w:tcPr>
            <w:tcW w:w="1035" w:type="dxa"/>
            <w:vAlign w:val="center"/>
          </w:tcPr>
          <w:p>
            <w:pPr>
              <w:pStyle w:val="51"/>
            </w:pPr>
            <w:r>
              <w:rPr>
                <w:rFonts w:hint="eastAsia"/>
              </w:rPr>
              <w:t>传真</w:t>
            </w:r>
          </w:p>
        </w:tc>
        <w:tc>
          <w:tcPr>
            <w:tcW w:w="2649" w:type="dxa"/>
            <w:gridSpan w:val="2"/>
            <w:vAlign w:val="center"/>
          </w:tcPr>
          <w:p>
            <w:pPr>
              <w:pStyle w:val="51"/>
            </w:pPr>
          </w:p>
        </w:tc>
        <w:tc>
          <w:tcPr>
            <w:tcW w:w="1417" w:type="dxa"/>
            <w:gridSpan w:val="2"/>
            <w:vAlign w:val="center"/>
          </w:tcPr>
          <w:p>
            <w:pPr>
              <w:pStyle w:val="51"/>
            </w:pPr>
            <w:r>
              <w:rPr>
                <w:rFonts w:hint="eastAsia"/>
              </w:rPr>
              <w:t>网址</w:t>
            </w:r>
          </w:p>
        </w:tc>
        <w:tc>
          <w:tcPr>
            <w:tcW w:w="2401" w:type="dxa"/>
            <w:gridSpan w:val="3"/>
            <w:vAlign w:val="center"/>
          </w:tcPr>
          <w:p>
            <w:pPr>
              <w:pStyle w:val="51"/>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9" w:type="dxa"/>
            <w:vAlign w:val="center"/>
          </w:tcPr>
          <w:p>
            <w:pPr>
              <w:pStyle w:val="51"/>
            </w:pPr>
            <w:r>
              <w:rPr>
                <w:rFonts w:hint="eastAsia"/>
              </w:rPr>
              <w:t>组织结构</w:t>
            </w:r>
          </w:p>
        </w:tc>
        <w:tc>
          <w:tcPr>
            <w:tcW w:w="7502" w:type="dxa"/>
            <w:gridSpan w:val="8"/>
            <w:vAlign w:val="center"/>
          </w:tcPr>
          <w:p>
            <w:pPr>
              <w:pStyle w:val="51"/>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29" w:type="dxa"/>
            <w:vAlign w:val="center"/>
          </w:tcPr>
          <w:p>
            <w:pPr>
              <w:pStyle w:val="51"/>
            </w:pPr>
            <w:r>
              <w:rPr>
                <w:rFonts w:hint="eastAsia"/>
              </w:rPr>
              <w:t>法定代表人</w:t>
            </w:r>
          </w:p>
        </w:tc>
        <w:tc>
          <w:tcPr>
            <w:tcW w:w="1035" w:type="dxa"/>
            <w:vAlign w:val="center"/>
          </w:tcPr>
          <w:p>
            <w:pPr>
              <w:pStyle w:val="51"/>
            </w:pPr>
            <w:r>
              <w:rPr>
                <w:rFonts w:hint="eastAsia"/>
              </w:rPr>
              <w:t>姓名</w:t>
            </w:r>
          </w:p>
        </w:tc>
        <w:tc>
          <w:tcPr>
            <w:tcW w:w="1317" w:type="dxa"/>
            <w:vAlign w:val="center"/>
          </w:tcPr>
          <w:p>
            <w:pPr>
              <w:pStyle w:val="51"/>
            </w:pPr>
          </w:p>
        </w:tc>
        <w:tc>
          <w:tcPr>
            <w:tcW w:w="1332" w:type="dxa"/>
            <w:vAlign w:val="center"/>
          </w:tcPr>
          <w:p>
            <w:pPr>
              <w:pStyle w:val="51"/>
            </w:pPr>
            <w:r>
              <w:rPr>
                <w:rFonts w:hint="eastAsia"/>
              </w:rPr>
              <w:t>技术职称</w:t>
            </w:r>
          </w:p>
        </w:tc>
        <w:tc>
          <w:tcPr>
            <w:tcW w:w="1417" w:type="dxa"/>
            <w:gridSpan w:val="2"/>
            <w:vAlign w:val="center"/>
          </w:tcPr>
          <w:p>
            <w:pPr>
              <w:pStyle w:val="51"/>
            </w:pPr>
          </w:p>
        </w:tc>
        <w:tc>
          <w:tcPr>
            <w:tcW w:w="1248" w:type="dxa"/>
            <w:gridSpan w:val="2"/>
            <w:vAlign w:val="center"/>
          </w:tcPr>
          <w:p>
            <w:pPr>
              <w:pStyle w:val="51"/>
            </w:pPr>
            <w:r>
              <w:rPr>
                <w:rFonts w:hint="eastAsia"/>
              </w:rPr>
              <w:t>电话</w:t>
            </w:r>
          </w:p>
        </w:tc>
        <w:tc>
          <w:tcPr>
            <w:tcW w:w="1153" w:type="dxa"/>
            <w:vAlign w:val="center"/>
          </w:tcPr>
          <w:p>
            <w:pPr>
              <w:pStyle w:val="51"/>
              <w:rPr>
                <w:b/>
                <w:bCs/>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29" w:type="dxa"/>
            <w:vAlign w:val="center"/>
          </w:tcPr>
          <w:p>
            <w:pPr>
              <w:pStyle w:val="51"/>
            </w:pPr>
            <w:r>
              <w:rPr>
                <w:rFonts w:hint="eastAsia"/>
              </w:rPr>
              <w:t>技术负责人</w:t>
            </w:r>
          </w:p>
        </w:tc>
        <w:tc>
          <w:tcPr>
            <w:tcW w:w="1035" w:type="dxa"/>
            <w:vAlign w:val="center"/>
          </w:tcPr>
          <w:p>
            <w:pPr>
              <w:pStyle w:val="51"/>
            </w:pPr>
            <w:r>
              <w:rPr>
                <w:rFonts w:hint="eastAsia"/>
              </w:rPr>
              <w:t>姓名</w:t>
            </w:r>
          </w:p>
        </w:tc>
        <w:tc>
          <w:tcPr>
            <w:tcW w:w="1317" w:type="dxa"/>
            <w:vAlign w:val="center"/>
          </w:tcPr>
          <w:p>
            <w:pPr>
              <w:pStyle w:val="51"/>
            </w:pPr>
          </w:p>
        </w:tc>
        <w:tc>
          <w:tcPr>
            <w:tcW w:w="1332" w:type="dxa"/>
            <w:vAlign w:val="center"/>
          </w:tcPr>
          <w:p>
            <w:pPr>
              <w:pStyle w:val="51"/>
            </w:pPr>
            <w:r>
              <w:rPr>
                <w:rFonts w:hint="eastAsia"/>
              </w:rPr>
              <w:t>技术职称</w:t>
            </w:r>
          </w:p>
        </w:tc>
        <w:tc>
          <w:tcPr>
            <w:tcW w:w="1417" w:type="dxa"/>
            <w:gridSpan w:val="2"/>
            <w:vAlign w:val="center"/>
          </w:tcPr>
          <w:p>
            <w:pPr>
              <w:pStyle w:val="51"/>
            </w:pPr>
          </w:p>
        </w:tc>
        <w:tc>
          <w:tcPr>
            <w:tcW w:w="1248" w:type="dxa"/>
            <w:gridSpan w:val="2"/>
            <w:vAlign w:val="center"/>
          </w:tcPr>
          <w:p>
            <w:pPr>
              <w:pStyle w:val="51"/>
            </w:pPr>
            <w:r>
              <w:rPr>
                <w:rFonts w:hint="eastAsia"/>
              </w:rPr>
              <w:t>电话</w:t>
            </w:r>
          </w:p>
        </w:tc>
        <w:tc>
          <w:tcPr>
            <w:tcW w:w="1153" w:type="dxa"/>
            <w:vAlign w:val="center"/>
          </w:tcPr>
          <w:p>
            <w:pPr>
              <w:pStyle w:val="51"/>
              <w:rPr>
                <w:b/>
                <w:bCs/>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9" w:type="dxa"/>
            <w:vAlign w:val="center"/>
          </w:tcPr>
          <w:p>
            <w:pPr>
              <w:pStyle w:val="51"/>
            </w:pPr>
            <w:r>
              <w:rPr>
                <w:rFonts w:hint="eastAsia"/>
              </w:rPr>
              <w:t>成立时间</w:t>
            </w:r>
          </w:p>
        </w:tc>
        <w:tc>
          <w:tcPr>
            <w:tcW w:w="2352" w:type="dxa"/>
            <w:gridSpan w:val="2"/>
            <w:vAlign w:val="center"/>
          </w:tcPr>
          <w:p>
            <w:pPr>
              <w:pStyle w:val="51"/>
            </w:pPr>
          </w:p>
        </w:tc>
        <w:tc>
          <w:tcPr>
            <w:tcW w:w="5150" w:type="dxa"/>
            <w:gridSpan w:val="6"/>
            <w:vAlign w:val="center"/>
          </w:tcPr>
          <w:p>
            <w:pPr>
              <w:pStyle w:val="51"/>
            </w:pPr>
            <w:r>
              <w:rPr>
                <w:rFonts w:hint="eastAsia"/>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9" w:type="dxa"/>
            <w:vAlign w:val="center"/>
          </w:tcPr>
          <w:p>
            <w:pPr>
              <w:pStyle w:val="51"/>
            </w:pPr>
            <w:r>
              <w:rPr>
                <w:rFonts w:hint="eastAsia"/>
              </w:rPr>
              <w:t>企业资质等级</w:t>
            </w:r>
          </w:p>
        </w:tc>
        <w:tc>
          <w:tcPr>
            <w:tcW w:w="2352" w:type="dxa"/>
            <w:gridSpan w:val="2"/>
            <w:vAlign w:val="center"/>
          </w:tcPr>
          <w:p>
            <w:pPr>
              <w:pStyle w:val="51"/>
            </w:pPr>
          </w:p>
        </w:tc>
        <w:tc>
          <w:tcPr>
            <w:tcW w:w="1332" w:type="dxa"/>
            <w:vMerge w:val="restart"/>
            <w:vAlign w:val="center"/>
          </w:tcPr>
          <w:p>
            <w:pPr>
              <w:pStyle w:val="51"/>
            </w:pPr>
            <w:r>
              <w:rPr>
                <w:rFonts w:hint="eastAsia"/>
              </w:rPr>
              <w:t>其中</w:t>
            </w:r>
          </w:p>
        </w:tc>
        <w:tc>
          <w:tcPr>
            <w:tcW w:w="1706" w:type="dxa"/>
            <w:gridSpan w:val="3"/>
            <w:vAlign w:val="center"/>
          </w:tcPr>
          <w:p>
            <w:pPr>
              <w:pStyle w:val="51"/>
            </w:pPr>
            <w:r>
              <w:rPr>
                <w:rFonts w:hint="eastAsia"/>
              </w:rPr>
              <w:t>项目经理</w:t>
            </w:r>
          </w:p>
        </w:tc>
        <w:tc>
          <w:tcPr>
            <w:tcW w:w="2112" w:type="dxa"/>
            <w:gridSpan w:val="2"/>
            <w:vAlign w:val="center"/>
          </w:tcPr>
          <w:p>
            <w:pPr>
              <w:pStyle w:val="51"/>
              <w:rPr>
                <w:b/>
                <w:bCs/>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9" w:type="dxa"/>
            <w:vAlign w:val="center"/>
          </w:tcPr>
          <w:p>
            <w:pPr>
              <w:pStyle w:val="51"/>
            </w:pPr>
            <w:r>
              <w:rPr>
                <w:rFonts w:hint="eastAsia"/>
              </w:rPr>
              <w:t>营业执照号</w:t>
            </w:r>
          </w:p>
        </w:tc>
        <w:tc>
          <w:tcPr>
            <w:tcW w:w="2352" w:type="dxa"/>
            <w:gridSpan w:val="2"/>
            <w:vAlign w:val="center"/>
          </w:tcPr>
          <w:p>
            <w:pPr>
              <w:pStyle w:val="51"/>
            </w:pPr>
          </w:p>
        </w:tc>
        <w:tc>
          <w:tcPr>
            <w:tcW w:w="1332" w:type="dxa"/>
            <w:vMerge w:val="continue"/>
            <w:vAlign w:val="center"/>
          </w:tcPr>
          <w:p>
            <w:pPr>
              <w:pStyle w:val="51"/>
            </w:pPr>
          </w:p>
        </w:tc>
        <w:tc>
          <w:tcPr>
            <w:tcW w:w="1706" w:type="dxa"/>
            <w:gridSpan w:val="3"/>
            <w:vAlign w:val="center"/>
          </w:tcPr>
          <w:p>
            <w:pPr>
              <w:pStyle w:val="51"/>
            </w:pPr>
            <w:r>
              <w:rPr>
                <w:rFonts w:hint="eastAsia"/>
              </w:rPr>
              <w:t>高级职称人员</w:t>
            </w:r>
          </w:p>
        </w:tc>
        <w:tc>
          <w:tcPr>
            <w:tcW w:w="2112" w:type="dxa"/>
            <w:gridSpan w:val="2"/>
            <w:vAlign w:val="center"/>
          </w:tcPr>
          <w:p>
            <w:pPr>
              <w:pStyle w:val="51"/>
              <w:rPr>
                <w:b/>
                <w:bCs/>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9" w:type="dxa"/>
            <w:vAlign w:val="center"/>
          </w:tcPr>
          <w:p>
            <w:pPr>
              <w:pStyle w:val="51"/>
            </w:pPr>
            <w:r>
              <w:rPr>
                <w:rFonts w:hint="eastAsia"/>
              </w:rPr>
              <w:t>注册资金</w:t>
            </w:r>
          </w:p>
        </w:tc>
        <w:tc>
          <w:tcPr>
            <w:tcW w:w="2352" w:type="dxa"/>
            <w:gridSpan w:val="2"/>
            <w:vAlign w:val="center"/>
          </w:tcPr>
          <w:p>
            <w:pPr>
              <w:pStyle w:val="51"/>
            </w:pPr>
          </w:p>
        </w:tc>
        <w:tc>
          <w:tcPr>
            <w:tcW w:w="1332" w:type="dxa"/>
            <w:vMerge w:val="continue"/>
            <w:vAlign w:val="center"/>
          </w:tcPr>
          <w:p>
            <w:pPr>
              <w:pStyle w:val="51"/>
            </w:pPr>
          </w:p>
        </w:tc>
        <w:tc>
          <w:tcPr>
            <w:tcW w:w="1706" w:type="dxa"/>
            <w:gridSpan w:val="3"/>
            <w:vAlign w:val="center"/>
          </w:tcPr>
          <w:p>
            <w:pPr>
              <w:pStyle w:val="51"/>
            </w:pPr>
            <w:r>
              <w:rPr>
                <w:rFonts w:hint="eastAsia"/>
              </w:rPr>
              <w:t>中级职称人员</w:t>
            </w:r>
          </w:p>
        </w:tc>
        <w:tc>
          <w:tcPr>
            <w:tcW w:w="2112" w:type="dxa"/>
            <w:gridSpan w:val="2"/>
            <w:vAlign w:val="center"/>
          </w:tcPr>
          <w:p>
            <w:pPr>
              <w:pStyle w:val="51"/>
              <w:rPr>
                <w:b/>
                <w:bCs/>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9" w:type="dxa"/>
            <w:vAlign w:val="center"/>
          </w:tcPr>
          <w:p>
            <w:pPr>
              <w:pStyle w:val="51"/>
            </w:pPr>
            <w:r>
              <w:rPr>
                <w:rFonts w:hint="eastAsia"/>
              </w:rPr>
              <w:t>开户银行</w:t>
            </w:r>
          </w:p>
        </w:tc>
        <w:tc>
          <w:tcPr>
            <w:tcW w:w="2352" w:type="dxa"/>
            <w:gridSpan w:val="2"/>
            <w:vAlign w:val="center"/>
          </w:tcPr>
          <w:p>
            <w:pPr>
              <w:pStyle w:val="51"/>
            </w:pPr>
          </w:p>
        </w:tc>
        <w:tc>
          <w:tcPr>
            <w:tcW w:w="1332" w:type="dxa"/>
            <w:vMerge w:val="continue"/>
            <w:vAlign w:val="center"/>
          </w:tcPr>
          <w:p>
            <w:pPr>
              <w:pStyle w:val="51"/>
            </w:pPr>
          </w:p>
        </w:tc>
        <w:tc>
          <w:tcPr>
            <w:tcW w:w="1706" w:type="dxa"/>
            <w:gridSpan w:val="3"/>
            <w:vAlign w:val="center"/>
          </w:tcPr>
          <w:p>
            <w:pPr>
              <w:pStyle w:val="51"/>
            </w:pPr>
            <w:r>
              <w:rPr>
                <w:rFonts w:hint="eastAsia"/>
              </w:rPr>
              <w:t>初级职称人员</w:t>
            </w:r>
          </w:p>
        </w:tc>
        <w:tc>
          <w:tcPr>
            <w:tcW w:w="2112" w:type="dxa"/>
            <w:gridSpan w:val="2"/>
            <w:vAlign w:val="center"/>
          </w:tcPr>
          <w:p>
            <w:pPr>
              <w:pStyle w:val="51"/>
              <w:rPr>
                <w:b/>
                <w:bCs/>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9" w:type="dxa"/>
            <w:vAlign w:val="center"/>
          </w:tcPr>
          <w:p>
            <w:pPr>
              <w:pStyle w:val="51"/>
            </w:pPr>
            <w:r>
              <w:rPr>
                <w:rFonts w:hint="eastAsia"/>
              </w:rPr>
              <w:t>账号</w:t>
            </w:r>
          </w:p>
        </w:tc>
        <w:tc>
          <w:tcPr>
            <w:tcW w:w="2352" w:type="dxa"/>
            <w:gridSpan w:val="2"/>
            <w:vAlign w:val="center"/>
          </w:tcPr>
          <w:p>
            <w:pPr>
              <w:pStyle w:val="51"/>
            </w:pPr>
          </w:p>
        </w:tc>
        <w:tc>
          <w:tcPr>
            <w:tcW w:w="1332" w:type="dxa"/>
            <w:vMerge w:val="continue"/>
            <w:vAlign w:val="center"/>
          </w:tcPr>
          <w:p>
            <w:pPr>
              <w:pStyle w:val="51"/>
            </w:pPr>
          </w:p>
        </w:tc>
        <w:tc>
          <w:tcPr>
            <w:tcW w:w="1706" w:type="dxa"/>
            <w:gridSpan w:val="3"/>
            <w:vAlign w:val="center"/>
          </w:tcPr>
          <w:p>
            <w:pPr>
              <w:pStyle w:val="51"/>
            </w:pPr>
            <w:r>
              <w:rPr>
                <w:rFonts w:hint="eastAsia"/>
              </w:rPr>
              <w:t>技工</w:t>
            </w:r>
          </w:p>
        </w:tc>
        <w:tc>
          <w:tcPr>
            <w:tcW w:w="2112" w:type="dxa"/>
            <w:gridSpan w:val="2"/>
            <w:vAlign w:val="center"/>
          </w:tcPr>
          <w:p>
            <w:pPr>
              <w:pStyle w:val="51"/>
              <w:rPr>
                <w:b/>
                <w:bCs/>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atLeast"/>
        </w:trPr>
        <w:tc>
          <w:tcPr>
            <w:tcW w:w="1629" w:type="dxa"/>
            <w:vAlign w:val="center"/>
          </w:tcPr>
          <w:p>
            <w:pPr>
              <w:pStyle w:val="51"/>
            </w:pPr>
            <w:r>
              <w:rPr>
                <w:rFonts w:hint="eastAsia"/>
              </w:rPr>
              <w:t>经营范围</w:t>
            </w:r>
          </w:p>
        </w:tc>
        <w:tc>
          <w:tcPr>
            <w:tcW w:w="7502" w:type="dxa"/>
            <w:gridSpan w:val="8"/>
            <w:vAlign w:val="center"/>
          </w:tcPr>
          <w:p>
            <w:pPr>
              <w:pStyle w:val="51"/>
              <w:rPr>
                <w:b/>
                <w:bCs/>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29" w:type="dxa"/>
            <w:vAlign w:val="center"/>
          </w:tcPr>
          <w:p>
            <w:pPr>
              <w:pStyle w:val="51"/>
            </w:pPr>
            <w:r>
              <w:rPr>
                <w:rFonts w:hint="eastAsia"/>
              </w:rPr>
              <w:t>备注</w:t>
            </w:r>
          </w:p>
        </w:tc>
        <w:tc>
          <w:tcPr>
            <w:tcW w:w="7502" w:type="dxa"/>
            <w:gridSpan w:val="8"/>
            <w:vAlign w:val="center"/>
          </w:tcPr>
          <w:p>
            <w:pPr>
              <w:pStyle w:val="51"/>
            </w:pPr>
          </w:p>
        </w:tc>
      </w:tr>
      <w:bookmarkEnd w:id="199"/>
      <w:bookmarkEnd w:id="200"/>
    </w:tbl>
    <w:p>
      <w:pPr>
        <w:ind w:right="240" w:firstLine="480"/>
      </w:pPr>
      <w:r>
        <w:rPr>
          <w:rFonts w:hint="eastAsia"/>
        </w:rPr>
        <w:t>注：供应商可以用其它的方式，就公司整体情况作出详细的介绍。</w:t>
      </w:r>
    </w:p>
    <w:p>
      <w:pPr>
        <w:ind w:right="240" w:firstLine="480"/>
      </w:pPr>
    </w:p>
    <w:p>
      <w:pPr>
        <w:ind w:right="240" w:firstLine="480"/>
      </w:pPr>
      <w:r>
        <w:rPr>
          <w:rFonts w:hint="eastAsia"/>
        </w:rPr>
        <w:t>供应商名称：XXXX（单位公章）。</w:t>
      </w:r>
    </w:p>
    <w:p>
      <w:pPr>
        <w:ind w:right="240" w:firstLine="480"/>
      </w:pPr>
      <w:r>
        <w:rPr>
          <w:rFonts w:hint="eastAsia"/>
        </w:rPr>
        <w:t>法定代表人或授权代表（签字或加盖个人名章）：XXXX。</w:t>
      </w:r>
    </w:p>
    <w:p>
      <w:pPr>
        <w:ind w:right="240" w:firstLine="480"/>
      </w:pPr>
      <w:r>
        <w:rPr>
          <w:rFonts w:hint="eastAsia"/>
        </w:rPr>
        <w:t>日    期：XXXX。</w:t>
      </w:r>
    </w:p>
    <w:p>
      <w:pPr>
        <w:widowControl/>
        <w:spacing w:line="240" w:lineRule="auto"/>
        <w:ind w:firstLine="0" w:firstLineChars="0"/>
      </w:pPr>
      <w:r>
        <w:br w:type="page"/>
      </w:r>
    </w:p>
    <w:p>
      <w:pPr>
        <w:pStyle w:val="5"/>
      </w:pPr>
      <w:bookmarkStart w:id="201" w:name="_Toc29468"/>
      <w:bookmarkStart w:id="202" w:name="_Toc466893731"/>
      <w:bookmarkStart w:id="203" w:name="_Toc440294273"/>
      <w:bookmarkStart w:id="204" w:name="_Toc466889942"/>
      <w:bookmarkStart w:id="205" w:name="_Toc423861098"/>
      <w:bookmarkStart w:id="206" w:name="_Toc466562886"/>
      <w:bookmarkStart w:id="207" w:name="_Toc3849"/>
      <w:bookmarkStart w:id="208" w:name="_Toc9905"/>
      <w:bookmarkStart w:id="209" w:name="_Toc21210"/>
      <w:bookmarkStart w:id="210" w:name="_Toc87641210"/>
      <w:bookmarkStart w:id="211" w:name="_Toc440385067"/>
      <w:bookmarkStart w:id="212" w:name="_Toc29406"/>
      <w:bookmarkStart w:id="213" w:name="_Toc440294500"/>
      <w:bookmarkStart w:id="214" w:name="_Toc88748270"/>
      <w:bookmarkStart w:id="215" w:name="_Toc474501727"/>
      <w:bookmarkStart w:id="216" w:name="_Toc439771471"/>
      <w:bookmarkStart w:id="217" w:name="_Toc91071133"/>
      <w:bookmarkStart w:id="218" w:name="_Toc13351"/>
      <w:bookmarkStart w:id="219" w:name="_Toc3535"/>
      <w:r>
        <w:rPr>
          <w:rFonts w:hint="eastAsia"/>
        </w:rPr>
        <w:t>供应商本项目管理、技术、服务人员情况表</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Pr>
          <w:rFonts w:hint="eastAsia"/>
        </w:rPr>
        <w:t xml:space="preserve">            </w:t>
      </w:r>
    </w:p>
    <w:tbl>
      <w:tblPr>
        <w:tblStyle w:val="31"/>
        <w:tblW w:w="880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942"/>
        <w:gridCol w:w="1148"/>
        <w:gridCol w:w="1134"/>
        <w:gridCol w:w="1134"/>
        <w:gridCol w:w="1559"/>
        <w:gridCol w:w="179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096" w:type="dxa"/>
            <w:vMerge w:val="restart"/>
            <w:vAlign w:val="center"/>
          </w:tcPr>
          <w:p>
            <w:pPr>
              <w:pStyle w:val="51"/>
              <w:jc w:val="center"/>
            </w:pPr>
            <w:r>
              <w:rPr>
                <w:rFonts w:hint="eastAsia"/>
              </w:rPr>
              <w:t>类别</w:t>
            </w:r>
          </w:p>
        </w:tc>
        <w:tc>
          <w:tcPr>
            <w:tcW w:w="942" w:type="dxa"/>
            <w:vMerge w:val="restart"/>
            <w:vAlign w:val="center"/>
          </w:tcPr>
          <w:p>
            <w:pPr>
              <w:pStyle w:val="51"/>
              <w:jc w:val="center"/>
            </w:pPr>
            <w:r>
              <w:rPr>
                <w:rFonts w:hint="eastAsia"/>
              </w:rPr>
              <w:t>职务</w:t>
            </w:r>
          </w:p>
        </w:tc>
        <w:tc>
          <w:tcPr>
            <w:tcW w:w="1148" w:type="dxa"/>
            <w:vMerge w:val="restart"/>
            <w:vAlign w:val="center"/>
          </w:tcPr>
          <w:p>
            <w:pPr>
              <w:pStyle w:val="51"/>
              <w:jc w:val="center"/>
            </w:pPr>
            <w:r>
              <w:rPr>
                <w:rFonts w:hint="eastAsia"/>
              </w:rPr>
              <w:t>姓名</w:t>
            </w:r>
          </w:p>
        </w:tc>
        <w:tc>
          <w:tcPr>
            <w:tcW w:w="1134" w:type="dxa"/>
            <w:vMerge w:val="restart"/>
            <w:vAlign w:val="center"/>
          </w:tcPr>
          <w:p>
            <w:pPr>
              <w:pStyle w:val="51"/>
              <w:jc w:val="center"/>
            </w:pPr>
            <w:r>
              <w:rPr>
                <w:rFonts w:hint="eastAsia"/>
              </w:rPr>
              <w:t>职称</w:t>
            </w:r>
          </w:p>
        </w:tc>
        <w:tc>
          <w:tcPr>
            <w:tcW w:w="1134" w:type="dxa"/>
            <w:vMerge w:val="restart"/>
            <w:vAlign w:val="center"/>
          </w:tcPr>
          <w:p>
            <w:pPr>
              <w:pStyle w:val="51"/>
              <w:jc w:val="center"/>
            </w:pPr>
            <w:r>
              <w:rPr>
                <w:rFonts w:hint="eastAsia"/>
              </w:rPr>
              <w:t>常住地</w:t>
            </w:r>
          </w:p>
        </w:tc>
        <w:tc>
          <w:tcPr>
            <w:tcW w:w="3355" w:type="dxa"/>
            <w:gridSpan w:val="2"/>
            <w:vAlign w:val="center"/>
          </w:tcPr>
          <w:p>
            <w:pPr>
              <w:pStyle w:val="51"/>
              <w:jc w:val="center"/>
            </w:pPr>
            <w:r>
              <w:rPr>
                <w:rFonts w:hint="eastAsia"/>
              </w:rPr>
              <w:t>资格证明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096" w:type="dxa"/>
            <w:vMerge w:val="continue"/>
            <w:vAlign w:val="center"/>
          </w:tcPr>
          <w:p>
            <w:pPr>
              <w:pStyle w:val="51"/>
              <w:jc w:val="center"/>
            </w:pPr>
          </w:p>
        </w:tc>
        <w:tc>
          <w:tcPr>
            <w:tcW w:w="942" w:type="dxa"/>
            <w:vMerge w:val="continue"/>
            <w:vAlign w:val="center"/>
          </w:tcPr>
          <w:p>
            <w:pPr>
              <w:pStyle w:val="51"/>
              <w:jc w:val="center"/>
            </w:pPr>
          </w:p>
        </w:tc>
        <w:tc>
          <w:tcPr>
            <w:tcW w:w="1148" w:type="dxa"/>
            <w:vMerge w:val="continue"/>
            <w:vAlign w:val="center"/>
          </w:tcPr>
          <w:p>
            <w:pPr>
              <w:pStyle w:val="51"/>
              <w:jc w:val="center"/>
            </w:pPr>
          </w:p>
        </w:tc>
        <w:tc>
          <w:tcPr>
            <w:tcW w:w="1134" w:type="dxa"/>
            <w:vMerge w:val="continue"/>
            <w:vAlign w:val="center"/>
          </w:tcPr>
          <w:p>
            <w:pPr>
              <w:pStyle w:val="51"/>
              <w:jc w:val="center"/>
            </w:pPr>
          </w:p>
        </w:tc>
        <w:tc>
          <w:tcPr>
            <w:tcW w:w="1134" w:type="dxa"/>
            <w:vMerge w:val="continue"/>
            <w:vAlign w:val="center"/>
          </w:tcPr>
          <w:p>
            <w:pPr>
              <w:pStyle w:val="51"/>
              <w:jc w:val="center"/>
            </w:pPr>
          </w:p>
        </w:tc>
        <w:tc>
          <w:tcPr>
            <w:tcW w:w="1559" w:type="dxa"/>
            <w:vAlign w:val="center"/>
          </w:tcPr>
          <w:p>
            <w:pPr>
              <w:pStyle w:val="51"/>
              <w:jc w:val="center"/>
            </w:pPr>
            <w:r>
              <w:rPr>
                <w:rFonts w:hint="eastAsia"/>
              </w:rPr>
              <w:t>证书名称</w:t>
            </w:r>
          </w:p>
        </w:tc>
        <w:tc>
          <w:tcPr>
            <w:tcW w:w="1796" w:type="dxa"/>
            <w:vAlign w:val="center"/>
          </w:tcPr>
          <w:p>
            <w:pPr>
              <w:pStyle w:val="51"/>
              <w:jc w:val="center"/>
            </w:pPr>
            <w:r>
              <w:rPr>
                <w:rFonts w:hint="eastAsia"/>
              </w:rPr>
              <w:t>专业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1096" w:type="dxa"/>
            <w:vMerge w:val="restart"/>
            <w:vAlign w:val="center"/>
          </w:tcPr>
          <w:p>
            <w:pPr>
              <w:pStyle w:val="51"/>
              <w:jc w:val="center"/>
            </w:pPr>
            <w:r>
              <w:rPr>
                <w:rFonts w:hint="eastAsia"/>
              </w:rPr>
              <w:t>管</w:t>
            </w:r>
          </w:p>
          <w:p>
            <w:pPr>
              <w:pStyle w:val="51"/>
              <w:jc w:val="center"/>
            </w:pPr>
            <w:r>
              <w:rPr>
                <w:rFonts w:hint="eastAsia"/>
              </w:rPr>
              <w:t>理</w:t>
            </w:r>
          </w:p>
          <w:p>
            <w:pPr>
              <w:pStyle w:val="51"/>
              <w:jc w:val="center"/>
            </w:pPr>
            <w:r>
              <w:rPr>
                <w:rFonts w:hint="eastAsia"/>
              </w:rPr>
              <w:t>人</w:t>
            </w:r>
          </w:p>
          <w:p>
            <w:pPr>
              <w:pStyle w:val="51"/>
              <w:jc w:val="center"/>
              <w:rPr>
                <w:sz w:val="28"/>
              </w:rPr>
            </w:pPr>
            <w:r>
              <w:rPr>
                <w:rFonts w:hint="eastAsia"/>
              </w:rPr>
              <w:t>员</w:t>
            </w:r>
          </w:p>
        </w:tc>
        <w:tc>
          <w:tcPr>
            <w:tcW w:w="942" w:type="dxa"/>
            <w:vAlign w:val="center"/>
          </w:tcPr>
          <w:p>
            <w:pPr>
              <w:pStyle w:val="51"/>
              <w:rPr>
                <w:sz w:val="28"/>
              </w:rPr>
            </w:pPr>
          </w:p>
        </w:tc>
        <w:tc>
          <w:tcPr>
            <w:tcW w:w="1148" w:type="dxa"/>
            <w:vAlign w:val="center"/>
          </w:tcPr>
          <w:p>
            <w:pPr>
              <w:pStyle w:val="51"/>
              <w:rPr>
                <w:sz w:val="28"/>
              </w:rPr>
            </w:pPr>
          </w:p>
        </w:tc>
        <w:tc>
          <w:tcPr>
            <w:tcW w:w="1134" w:type="dxa"/>
            <w:vAlign w:val="center"/>
          </w:tcPr>
          <w:p>
            <w:pPr>
              <w:pStyle w:val="51"/>
              <w:rPr>
                <w:sz w:val="28"/>
              </w:rPr>
            </w:pPr>
          </w:p>
        </w:tc>
        <w:tc>
          <w:tcPr>
            <w:tcW w:w="1134" w:type="dxa"/>
            <w:vAlign w:val="center"/>
          </w:tcPr>
          <w:p>
            <w:pPr>
              <w:pStyle w:val="51"/>
              <w:rPr>
                <w:sz w:val="28"/>
              </w:rPr>
            </w:pPr>
          </w:p>
        </w:tc>
        <w:tc>
          <w:tcPr>
            <w:tcW w:w="1559" w:type="dxa"/>
            <w:vAlign w:val="center"/>
          </w:tcPr>
          <w:p>
            <w:pPr>
              <w:pStyle w:val="51"/>
              <w:rPr>
                <w:sz w:val="28"/>
              </w:rPr>
            </w:pPr>
          </w:p>
        </w:tc>
        <w:tc>
          <w:tcPr>
            <w:tcW w:w="1796" w:type="dxa"/>
            <w:vAlign w:val="center"/>
          </w:tcPr>
          <w:p>
            <w:pPr>
              <w:pStyle w:val="51"/>
              <w:rPr>
                <w:sz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096" w:type="dxa"/>
            <w:vMerge w:val="continue"/>
            <w:vAlign w:val="center"/>
          </w:tcPr>
          <w:p>
            <w:pPr>
              <w:pStyle w:val="51"/>
              <w:jc w:val="center"/>
              <w:rPr>
                <w:sz w:val="28"/>
              </w:rPr>
            </w:pPr>
          </w:p>
        </w:tc>
        <w:tc>
          <w:tcPr>
            <w:tcW w:w="942" w:type="dxa"/>
            <w:vAlign w:val="center"/>
          </w:tcPr>
          <w:p>
            <w:pPr>
              <w:pStyle w:val="51"/>
              <w:rPr>
                <w:sz w:val="28"/>
              </w:rPr>
            </w:pPr>
          </w:p>
        </w:tc>
        <w:tc>
          <w:tcPr>
            <w:tcW w:w="1148" w:type="dxa"/>
            <w:vAlign w:val="center"/>
          </w:tcPr>
          <w:p>
            <w:pPr>
              <w:pStyle w:val="51"/>
              <w:rPr>
                <w:sz w:val="28"/>
              </w:rPr>
            </w:pPr>
          </w:p>
        </w:tc>
        <w:tc>
          <w:tcPr>
            <w:tcW w:w="1134" w:type="dxa"/>
            <w:vAlign w:val="center"/>
          </w:tcPr>
          <w:p>
            <w:pPr>
              <w:pStyle w:val="51"/>
              <w:rPr>
                <w:sz w:val="28"/>
              </w:rPr>
            </w:pPr>
          </w:p>
        </w:tc>
        <w:tc>
          <w:tcPr>
            <w:tcW w:w="1134" w:type="dxa"/>
            <w:vAlign w:val="center"/>
          </w:tcPr>
          <w:p>
            <w:pPr>
              <w:pStyle w:val="51"/>
              <w:rPr>
                <w:sz w:val="28"/>
              </w:rPr>
            </w:pPr>
          </w:p>
        </w:tc>
        <w:tc>
          <w:tcPr>
            <w:tcW w:w="1559" w:type="dxa"/>
            <w:vAlign w:val="center"/>
          </w:tcPr>
          <w:p>
            <w:pPr>
              <w:pStyle w:val="51"/>
              <w:rPr>
                <w:sz w:val="28"/>
              </w:rPr>
            </w:pPr>
          </w:p>
        </w:tc>
        <w:tc>
          <w:tcPr>
            <w:tcW w:w="1796" w:type="dxa"/>
            <w:vAlign w:val="center"/>
          </w:tcPr>
          <w:p>
            <w:pPr>
              <w:pStyle w:val="51"/>
              <w:rPr>
                <w:sz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1096" w:type="dxa"/>
            <w:vMerge w:val="continue"/>
            <w:vAlign w:val="center"/>
          </w:tcPr>
          <w:p>
            <w:pPr>
              <w:pStyle w:val="51"/>
              <w:jc w:val="center"/>
              <w:rPr>
                <w:sz w:val="28"/>
              </w:rPr>
            </w:pPr>
          </w:p>
        </w:tc>
        <w:tc>
          <w:tcPr>
            <w:tcW w:w="942" w:type="dxa"/>
            <w:vAlign w:val="center"/>
          </w:tcPr>
          <w:p>
            <w:pPr>
              <w:pStyle w:val="51"/>
              <w:rPr>
                <w:sz w:val="28"/>
              </w:rPr>
            </w:pPr>
          </w:p>
        </w:tc>
        <w:tc>
          <w:tcPr>
            <w:tcW w:w="1148" w:type="dxa"/>
            <w:vAlign w:val="center"/>
          </w:tcPr>
          <w:p>
            <w:pPr>
              <w:pStyle w:val="51"/>
              <w:rPr>
                <w:sz w:val="28"/>
              </w:rPr>
            </w:pPr>
          </w:p>
        </w:tc>
        <w:tc>
          <w:tcPr>
            <w:tcW w:w="1134" w:type="dxa"/>
            <w:vAlign w:val="center"/>
          </w:tcPr>
          <w:p>
            <w:pPr>
              <w:pStyle w:val="51"/>
              <w:rPr>
                <w:sz w:val="28"/>
              </w:rPr>
            </w:pPr>
          </w:p>
        </w:tc>
        <w:tc>
          <w:tcPr>
            <w:tcW w:w="1134" w:type="dxa"/>
            <w:vAlign w:val="center"/>
          </w:tcPr>
          <w:p>
            <w:pPr>
              <w:pStyle w:val="51"/>
              <w:rPr>
                <w:sz w:val="28"/>
              </w:rPr>
            </w:pPr>
          </w:p>
        </w:tc>
        <w:tc>
          <w:tcPr>
            <w:tcW w:w="1559" w:type="dxa"/>
            <w:vAlign w:val="center"/>
          </w:tcPr>
          <w:p>
            <w:pPr>
              <w:pStyle w:val="51"/>
              <w:rPr>
                <w:sz w:val="28"/>
              </w:rPr>
            </w:pPr>
          </w:p>
        </w:tc>
        <w:tc>
          <w:tcPr>
            <w:tcW w:w="1796" w:type="dxa"/>
            <w:vAlign w:val="center"/>
          </w:tcPr>
          <w:p>
            <w:pPr>
              <w:pStyle w:val="51"/>
              <w:rPr>
                <w:sz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096" w:type="dxa"/>
            <w:vMerge w:val="restart"/>
            <w:vAlign w:val="center"/>
          </w:tcPr>
          <w:p>
            <w:pPr>
              <w:pStyle w:val="51"/>
              <w:jc w:val="center"/>
            </w:pPr>
            <w:r>
              <w:rPr>
                <w:rFonts w:hint="eastAsia"/>
              </w:rPr>
              <w:t>技</w:t>
            </w:r>
          </w:p>
          <w:p>
            <w:pPr>
              <w:pStyle w:val="51"/>
              <w:jc w:val="center"/>
            </w:pPr>
            <w:r>
              <w:rPr>
                <w:rFonts w:hint="eastAsia"/>
              </w:rPr>
              <w:t>术</w:t>
            </w:r>
          </w:p>
          <w:p>
            <w:pPr>
              <w:pStyle w:val="51"/>
              <w:jc w:val="center"/>
            </w:pPr>
            <w:r>
              <w:rPr>
                <w:rFonts w:hint="eastAsia"/>
              </w:rPr>
              <w:t>人</w:t>
            </w:r>
          </w:p>
          <w:p>
            <w:pPr>
              <w:pStyle w:val="51"/>
              <w:jc w:val="center"/>
            </w:pPr>
            <w:r>
              <w:rPr>
                <w:rFonts w:hint="eastAsia"/>
              </w:rPr>
              <w:t>员</w:t>
            </w:r>
          </w:p>
        </w:tc>
        <w:tc>
          <w:tcPr>
            <w:tcW w:w="942" w:type="dxa"/>
            <w:vAlign w:val="center"/>
          </w:tcPr>
          <w:p>
            <w:pPr>
              <w:pStyle w:val="51"/>
              <w:rPr>
                <w:sz w:val="28"/>
              </w:rPr>
            </w:pPr>
          </w:p>
        </w:tc>
        <w:tc>
          <w:tcPr>
            <w:tcW w:w="1148" w:type="dxa"/>
            <w:vAlign w:val="center"/>
          </w:tcPr>
          <w:p>
            <w:pPr>
              <w:pStyle w:val="51"/>
              <w:rPr>
                <w:sz w:val="28"/>
              </w:rPr>
            </w:pPr>
          </w:p>
        </w:tc>
        <w:tc>
          <w:tcPr>
            <w:tcW w:w="1134" w:type="dxa"/>
            <w:vAlign w:val="center"/>
          </w:tcPr>
          <w:p>
            <w:pPr>
              <w:pStyle w:val="51"/>
              <w:rPr>
                <w:sz w:val="28"/>
              </w:rPr>
            </w:pPr>
          </w:p>
        </w:tc>
        <w:tc>
          <w:tcPr>
            <w:tcW w:w="1134" w:type="dxa"/>
            <w:vAlign w:val="center"/>
          </w:tcPr>
          <w:p>
            <w:pPr>
              <w:pStyle w:val="51"/>
              <w:rPr>
                <w:sz w:val="28"/>
              </w:rPr>
            </w:pPr>
          </w:p>
        </w:tc>
        <w:tc>
          <w:tcPr>
            <w:tcW w:w="1559" w:type="dxa"/>
            <w:vAlign w:val="center"/>
          </w:tcPr>
          <w:p>
            <w:pPr>
              <w:pStyle w:val="51"/>
              <w:rPr>
                <w:sz w:val="28"/>
              </w:rPr>
            </w:pPr>
          </w:p>
        </w:tc>
        <w:tc>
          <w:tcPr>
            <w:tcW w:w="1796" w:type="dxa"/>
            <w:vAlign w:val="center"/>
          </w:tcPr>
          <w:p>
            <w:pPr>
              <w:pStyle w:val="51"/>
              <w:rPr>
                <w:sz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1096" w:type="dxa"/>
            <w:vMerge w:val="continue"/>
            <w:vAlign w:val="center"/>
          </w:tcPr>
          <w:p>
            <w:pPr>
              <w:pStyle w:val="51"/>
              <w:jc w:val="center"/>
            </w:pPr>
          </w:p>
        </w:tc>
        <w:tc>
          <w:tcPr>
            <w:tcW w:w="942" w:type="dxa"/>
            <w:vAlign w:val="center"/>
          </w:tcPr>
          <w:p>
            <w:pPr>
              <w:pStyle w:val="51"/>
              <w:rPr>
                <w:sz w:val="28"/>
              </w:rPr>
            </w:pPr>
          </w:p>
        </w:tc>
        <w:tc>
          <w:tcPr>
            <w:tcW w:w="1148" w:type="dxa"/>
            <w:vAlign w:val="center"/>
          </w:tcPr>
          <w:p>
            <w:pPr>
              <w:pStyle w:val="51"/>
              <w:rPr>
                <w:sz w:val="28"/>
              </w:rPr>
            </w:pPr>
          </w:p>
        </w:tc>
        <w:tc>
          <w:tcPr>
            <w:tcW w:w="1134" w:type="dxa"/>
            <w:vAlign w:val="center"/>
          </w:tcPr>
          <w:p>
            <w:pPr>
              <w:pStyle w:val="51"/>
              <w:rPr>
                <w:sz w:val="28"/>
              </w:rPr>
            </w:pPr>
          </w:p>
        </w:tc>
        <w:tc>
          <w:tcPr>
            <w:tcW w:w="1134" w:type="dxa"/>
            <w:vAlign w:val="center"/>
          </w:tcPr>
          <w:p>
            <w:pPr>
              <w:pStyle w:val="51"/>
              <w:rPr>
                <w:sz w:val="28"/>
              </w:rPr>
            </w:pPr>
          </w:p>
        </w:tc>
        <w:tc>
          <w:tcPr>
            <w:tcW w:w="1559" w:type="dxa"/>
            <w:vAlign w:val="center"/>
          </w:tcPr>
          <w:p>
            <w:pPr>
              <w:pStyle w:val="51"/>
              <w:rPr>
                <w:sz w:val="28"/>
              </w:rPr>
            </w:pPr>
          </w:p>
        </w:tc>
        <w:tc>
          <w:tcPr>
            <w:tcW w:w="1796" w:type="dxa"/>
            <w:vAlign w:val="center"/>
          </w:tcPr>
          <w:p>
            <w:pPr>
              <w:pStyle w:val="51"/>
              <w:rPr>
                <w:sz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096" w:type="dxa"/>
            <w:vMerge w:val="continue"/>
            <w:vAlign w:val="center"/>
          </w:tcPr>
          <w:p>
            <w:pPr>
              <w:pStyle w:val="51"/>
              <w:jc w:val="center"/>
            </w:pPr>
          </w:p>
        </w:tc>
        <w:tc>
          <w:tcPr>
            <w:tcW w:w="942" w:type="dxa"/>
            <w:vAlign w:val="center"/>
          </w:tcPr>
          <w:p>
            <w:pPr>
              <w:pStyle w:val="51"/>
              <w:rPr>
                <w:sz w:val="28"/>
              </w:rPr>
            </w:pPr>
          </w:p>
        </w:tc>
        <w:tc>
          <w:tcPr>
            <w:tcW w:w="1148" w:type="dxa"/>
            <w:vAlign w:val="center"/>
          </w:tcPr>
          <w:p>
            <w:pPr>
              <w:pStyle w:val="51"/>
              <w:rPr>
                <w:sz w:val="28"/>
              </w:rPr>
            </w:pPr>
          </w:p>
        </w:tc>
        <w:tc>
          <w:tcPr>
            <w:tcW w:w="1134" w:type="dxa"/>
            <w:vAlign w:val="center"/>
          </w:tcPr>
          <w:p>
            <w:pPr>
              <w:pStyle w:val="51"/>
              <w:rPr>
                <w:sz w:val="28"/>
              </w:rPr>
            </w:pPr>
          </w:p>
        </w:tc>
        <w:tc>
          <w:tcPr>
            <w:tcW w:w="1134" w:type="dxa"/>
            <w:vAlign w:val="center"/>
          </w:tcPr>
          <w:p>
            <w:pPr>
              <w:pStyle w:val="51"/>
              <w:rPr>
                <w:sz w:val="28"/>
              </w:rPr>
            </w:pPr>
          </w:p>
        </w:tc>
        <w:tc>
          <w:tcPr>
            <w:tcW w:w="1559" w:type="dxa"/>
            <w:vAlign w:val="center"/>
          </w:tcPr>
          <w:p>
            <w:pPr>
              <w:pStyle w:val="51"/>
              <w:rPr>
                <w:sz w:val="28"/>
              </w:rPr>
            </w:pPr>
          </w:p>
        </w:tc>
        <w:tc>
          <w:tcPr>
            <w:tcW w:w="1796" w:type="dxa"/>
            <w:vAlign w:val="center"/>
          </w:tcPr>
          <w:p>
            <w:pPr>
              <w:pStyle w:val="51"/>
              <w:rPr>
                <w:sz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1096" w:type="dxa"/>
            <w:vMerge w:val="restart"/>
            <w:vAlign w:val="center"/>
          </w:tcPr>
          <w:p>
            <w:pPr>
              <w:pStyle w:val="51"/>
              <w:jc w:val="center"/>
            </w:pPr>
            <w:r>
              <w:rPr>
                <w:rFonts w:hint="eastAsia"/>
              </w:rPr>
              <w:t>售后</w:t>
            </w:r>
          </w:p>
          <w:p>
            <w:pPr>
              <w:pStyle w:val="51"/>
              <w:jc w:val="center"/>
            </w:pPr>
            <w:r>
              <w:rPr>
                <w:rFonts w:hint="eastAsia"/>
              </w:rPr>
              <w:t>服务</w:t>
            </w:r>
          </w:p>
          <w:p>
            <w:pPr>
              <w:pStyle w:val="51"/>
              <w:jc w:val="center"/>
            </w:pPr>
            <w:r>
              <w:rPr>
                <w:rFonts w:hint="eastAsia"/>
              </w:rPr>
              <w:t>人员</w:t>
            </w:r>
          </w:p>
        </w:tc>
        <w:tc>
          <w:tcPr>
            <w:tcW w:w="942" w:type="dxa"/>
            <w:vAlign w:val="center"/>
          </w:tcPr>
          <w:p>
            <w:pPr>
              <w:pStyle w:val="51"/>
              <w:rPr>
                <w:sz w:val="28"/>
              </w:rPr>
            </w:pPr>
          </w:p>
        </w:tc>
        <w:tc>
          <w:tcPr>
            <w:tcW w:w="1148" w:type="dxa"/>
            <w:vAlign w:val="center"/>
          </w:tcPr>
          <w:p>
            <w:pPr>
              <w:pStyle w:val="51"/>
              <w:rPr>
                <w:sz w:val="28"/>
              </w:rPr>
            </w:pPr>
          </w:p>
        </w:tc>
        <w:tc>
          <w:tcPr>
            <w:tcW w:w="1134" w:type="dxa"/>
            <w:vAlign w:val="center"/>
          </w:tcPr>
          <w:p>
            <w:pPr>
              <w:pStyle w:val="51"/>
              <w:rPr>
                <w:sz w:val="28"/>
              </w:rPr>
            </w:pPr>
          </w:p>
        </w:tc>
        <w:tc>
          <w:tcPr>
            <w:tcW w:w="1134" w:type="dxa"/>
            <w:vAlign w:val="center"/>
          </w:tcPr>
          <w:p>
            <w:pPr>
              <w:pStyle w:val="51"/>
              <w:rPr>
                <w:sz w:val="28"/>
              </w:rPr>
            </w:pPr>
          </w:p>
        </w:tc>
        <w:tc>
          <w:tcPr>
            <w:tcW w:w="1559" w:type="dxa"/>
            <w:vAlign w:val="center"/>
          </w:tcPr>
          <w:p>
            <w:pPr>
              <w:pStyle w:val="51"/>
              <w:rPr>
                <w:sz w:val="28"/>
              </w:rPr>
            </w:pPr>
          </w:p>
        </w:tc>
        <w:tc>
          <w:tcPr>
            <w:tcW w:w="1796" w:type="dxa"/>
            <w:vAlign w:val="center"/>
          </w:tcPr>
          <w:p>
            <w:pPr>
              <w:pStyle w:val="51"/>
              <w:rPr>
                <w:sz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44" w:hRule="atLeast"/>
          <w:jc w:val="center"/>
        </w:trPr>
        <w:tc>
          <w:tcPr>
            <w:tcW w:w="1096" w:type="dxa"/>
            <w:vMerge w:val="continue"/>
            <w:vAlign w:val="center"/>
          </w:tcPr>
          <w:p>
            <w:pPr>
              <w:pStyle w:val="51"/>
              <w:rPr>
                <w:sz w:val="28"/>
              </w:rPr>
            </w:pPr>
          </w:p>
        </w:tc>
        <w:tc>
          <w:tcPr>
            <w:tcW w:w="942" w:type="dxa"/>
            <w:vAlign w:val="center"/>
          </w:tcPr>
          <w:p>
            <w:pPr>
              <w:pStyle w:val="51"/>
              <w:rPr>
                <w:sz w:val="28"/>
              </w:rPr>
            </w:pPr>
          </w:p>
        </w:tc>
        <w:tc>
          <w:tcPr>
            <w:tcW w:w="1148" w:type="dxa"/>
            <w:vAlign w:val="center"/>
          </w:tcPr>
          <w:p>
            <w:pPr>
              <w:pStyle w:val="51"/>
              <w:rPr>
                <w:b/>
                <w:bCs/>
                <w:sz w:val="28"/>
              </w:rPr>
            </w:pPr>
          </w:p>
        </w:tc>
        <w:tc>
          <w:tcPr>
            <w:tcW w:w="1134" w:type="dxa"/>
            <w:vAlign w:val="center"/>
          </w:tcPr>
          <w:p>
            <w:pPr>
              <w:pStyle w:val="51"/>
              <w:rPr>
                <w:b/>
                <w:bCs/>
                <w:sz w:val="28"/>
              </w:rPr>
            </w:pPr>
          </w:p>
        </w:tc>
        <w:tc>
          <w:tcPr>
            <w:tcW w:w="1134" w:type="dxa"/>
            <w:vAlign w:val="center"/>
          </w:tcPr>
          <w:p>
            <w:pPr>
              <w:pStyle w:val="51"/>
              <w:rPr>
                <w:b/>
                <w:bCs/>
                <w:sz w:val="28"/>
              </w:rPr>
            </w:pPr>
          </w:p>
        </w:tc>
        <w:tc>
          <w:tcPr>
            <w:tcW w:w="1559" w:type="dxa"/>
            <w:vAlign w:val="center"/>
          </w:tcPr>
          <w:p>
            <w:pPr>
              <w:pStyle w:val="51"/>
              <w:rPr>
                <w:b/>
                <w:bCs/>
                <w:sz w:val="28"/>
              </w:rPr>
            </w:pPr>
          </w:p>
        </w:tc>
        <w:tc>
          <w:tcPr>
            <w:tcW w:w="1796" w:type="dxa"/>
            <w:vAlign w:val="center"/>
          </w:tcPr>
          <w:p>
            <w:pPr>
              <w:pStyle w:val="51"/>
              <w:rPr>
                <w:b/>
                <w:bCs/>
                <w:sz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7" w:hRule="atLeast"/>
          <w:jc w:val="center"/>
        </w:trPr>
        <w:tc>
          <w:tcPr>
            <w:tcW w:w="1096" w:type="dxa"/>
            <w:vMerge w:val="continue"/>
            <w:vAlign w:val="center"/>
          </w:tcPr>
          <w:p>
            <w:pPr>
              <w:pStyle w:val="51"/>
              <w:rPr>
                <w:sz w:val="28"/>
              </w:rPr>
            </w:pPr>
          </w:p>
        </w:tc>
        <w:tc>
          <w:tcPr>
            <w:tcW w:w="942" w:type="dxa"/>
            <w:vAlign w:val="center"/>
          </w:tcPr>
          <w:p>
            <w:pPr>
              <w:pStyle w:val="51"/>
              <w:rPr>
                <w:sz w:val="28"/>
              </w:rPr>
            </w:pPr>
          </w:p>
        </w:tc>
        <w:tc>
          <w:tcPr>
            <w:tcW w:w="1148" w:type="dxa"/>
            <w:vAlign w:val="center"/>
          </w:tcPr>
          <w:p>
            <w:pPr>
              <w:pStyle w:val="51"/>
              <w:rPr>
                <w:b/>
                <w:bCs/>
                <w:sz w:val="28"/>
              </w:rPr>
            </w:pPr>
          </w:p>
        </w:tc>
        <w:tc>
          <w:tcPr>
            <w:tcW w:w="1134" w:type="dxa"/>
            <w:vAlign w:val="center"/>
          </w:tcPr>
          <w:p>
            <w:pPr>
              <w:pStyle w:val="51"/>
              <w:rPr>
                <w:b/>
                <w:bCs/>
                <w:sz w:val="28"/>
              </w:rPr>
            </w:pPr>
          </w:p>
        </w:tc>
        <w:tc>
          <w:tcPr>
            <w:tcW w:w="1134" w:type="dxa"/>
            <w:vAlign w:val="center"/>
          </w:tcPr>
          <w:p>
            <w:pPr>
              <w:pStyle w:val="51"/>
              <w:rPr>
                <w:b/>
                <w:bCs/>
                <w:sz w:val="28"/>
              </w:rPr>
            </w:pPr>
          </w:p>
        </w:tc>
        <w:tc>
          <w:tcPr>
            <w:tcW w:w="1559" w:type="dxa"/>
            <w:vAlign w:val="center"/>
          </w:tcPr>
          <w:p>
            <w:pPr>
              <w:pStyle w:val="51"/>
              <w:rPr>
                <w:b/>
                <w:bCs/>
                <w:sz w:val="28"/>
              </w:rPr>
            </w:pPr>
          </w:p>
        </w:tc>
        <w:tc>
          <w:tcPr>
            <w:tcW w:w="1796" w:type="dxa"/>
            <w:vAlign w:val="center"/>
          </w:tcPr>
          <w:p>
            <w:pPr>
              <w:pStyle w:val="51"/>
              <w:rPr>
                <w:b/>
                <w:bCs/>
                <w:sz w:val="28"/>
              </w:rPr>
            </w:pPr>
          </w:p>
        </w:tc>
      </w:tr>
    </w:tbl>
    <w:p>
      <w:pPr>
        <w:ind w:right="240" w:firstLine="480"/>
      </w:pPr>
    </w:p>
    <w:p>
      <w:pPr>
        <w:ind w:right="240" w:firstLine="480"/>
      </w:pPr>
      <w:r>
        <w:rPr>
          <w:rFonts w:hint="eastAsia"/>
        </w:rPr>
        <w:t>供应商名称：XXXX（单位公章）。</w:t>
      </w:r>
    </w:p>
    <w:p>
      <w:pPr>
        <w:ind w:right="240" w:firstLine="480"/>
      </w:pPr>
      <w:r>
        <w:rPr>
          <w:rFonts w:hint="eastAsia"/>
        </w:rPr>
        <w:t>法定代表人或授权代表（签字或加盖个人名章）：XXXX。</w:t>
      </w:r>
    </w:p>
    <w:p>
      <w:pPr>
        <w:ind w:right="240" w:firstLine="480"/>
      </w:pPr>
      <w:r>
        <w:rPr>
          <w:rFonts w:hint="eastAsia"/>
        </w:rPr>
        <w:t>日    期：XXXX。</w:t>
      </w:r>
    </w:p>
    <w:p>
      <w:pPr>
        <w:ind w:right="240" w:firstLine="0" w:firstLineChars="0"/>
      </w:pPr>
    </w:p>
    <w:p>
      <w:pPr>
        <w:ind w:right="240" w:firstLine="0" w:firstLineChars="0"/>
      </w:pPr>
    </w:p>
    <w:p>
      <w:pPr>
        <w:ind w:right="240" w:firstLine="0" w:firstLineChars="0"/>
      </w:pPr>
    </w:p>
    <w:p>
      <w:pPr>
        <w:widowControl/>
        <w:spacing w:line="240" w:lineRule="auto"/>
        <w:ind w:firstLine="0" w:firstLineChars="0"/>
        <w:jc w:val="left"/>
      </w:pPr>
      <w:r>
        <w:br w:type="page"/>
      </w:r>
    </w:p>
    <w:p>
      <w:pPr>
        <w:pStyle w:val="5"/>
      </w:pPr>
      <w:bookmarkStart w:id="220" w:name="_Toc505261895"/>
      <w:bookmarkStart w:id="221" w:name="_Toc513469033"/>
      <w:bookmarkStart w:id="222" w:name="_Toc12927"/>
      <w:bookmarkStart w:id="223" w:name="_Toc469403779"/>
      <w:bookmarkStart w:id="224" w:name="_Toc88748271"/>
      <w:bookmarkStart w:id="225" w:name="_Toc217446089"/>
      <w:bookmarkStart w:id="226" w:name="_Toc91071134"/>
      <w:r>
        <w:rPr>
          <w:rFonts w:hint="eastAsia"/>
        </w:rPr>
        <w:t>供应商类似项目业绩一览表</w:t>
      </w:r>
      <w:bookmarkEnd w:id="220"/>
      <w:bookmarkEnd w:id="221"/>
      <w:bookmarkEnd w:id="222"/>
      <w:bookmarkEnd w:id="223"/>
      <w:bookmarkEnd w:id="224"/>
      <w:bookmarkEnd w:id="225"/>
      <w:bookmarkEnd w:id="226"/>
    </w:p>
    <w:tbl>
      <w:tblPr>
        <w:tblStyle w:val="31"/>
        <w:tblW w:w="884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73"/>
        <w:gridCol w:w="1545"/>
        <w:gridCol w:w="1416"/>
        <w:gridCol w:w="1246"/>
        <w:gridCol w:w="1243"/>
        <w:gridCol w:w="1804"/>
        <w:gridCol w:w="8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7" w:hRule="atLeast"/>
          <w:jc w:val="center"/>
        </w:trPr>
        <w:tc>
          <w:tcPr>
            <w:tcW w:w="773" w:type="dxa"/>
            <w:tcBorders>
              <w:top w:val="single" w:color="auto" w:sz="4" w:space="0"/>
            </w:tcBorders>
            <w:vAlign w:val="center"/>
          </w:tcPr>
          <w:p>
            <w:pPr>
              <w:pStyle w:val="51"/>
            </w:pPr>
            <w:r>
              <w:rPr>
                <w:rFonts w:hint="eastAsia"/>
              </w:rPr>
              <w:t>年份</w:t>
            </w:r>
          </w:p>
        </w:tc>
        <w:tc>
          <w:tcPr>
            <w:tcW w:w="1545" w:type="dxa"/>
            <w:vAlign w:val="center"/>
          </w:tcPr>
          <w:p>
            <w:pPr>
              <w:pStyle w:val="51"/>
            </w:pPr>
            <w:r>
              <w:rPr>
                <w:rFonts w:hint="eastAsia"/>
              </w:rPr>
              <w:t>用户名称</w:t>
            </w:r>
          </w:p>
        </w:tc>
        <w:tc>
          <w:tcPr>
            <w:tcW w:w="1416" w:type="dxa"/>
            <w:vAlign w:val="center"/>
          </w:tcPr>
          <w:p>
            <w:pPr>
              <w:pStyle w:val="51"/>
            </w:pPr>
            <w:r>
              <w:rPr>
                <w:rFonts w:hint="eastAsia"/>
              </w:rPr>
              <w:t>项目名称</w:t>
            </w:r>
          </w:p>
        </w:tc>
        <w:tc>
          <w:tcPr>
            <w:tcW w:w="1246" w:type="dxa"/>
            <w:vAlign w:val="center"/>
          </w:tcPr>
          <w:p>
            <w:pPr>
              <w:pStyle w:val="51"/>
            </w:pPr>
            <w:r>
              <w:rPr>
                <w:rFonts w:hint="eastAsia"/>
              </w:rPr>
              <w:t>完成时间</w:t>
            </w:r>
          </w:p>
        </w:tc>
        <w:tc>
          <w:tcPr>
            <w:tcW w:w="1243" w:type="dxa"/>
            <w:vAlign w:val="center"/>
          </w:tcPr>
          <w:p>
            <w:pPr>
              <w:pStyle w:val="51"/>
            </w:pPr>
            <w:r>
              <w:rPr>
                <w:rFonts w:hint="eastAsia"/>
              </w:rPr>
              <w:t>合同金额</w:t>
            </w:r>
          </w:p>
        </w:tc>
        <w:tc>
          <w:tcPr>
            <w:tcW w:w="1804" w:type="dxa"/>
            <w:tcBorders>
              <w:right w:val="single" w:color="auto" w:sz="4" w:space="0"/>
            </w:tcBorders>
            <w:vAlign w:val="center"/>
          </w:tcPr>
          <w:p>
            <w:pPr>
              <w:pStyle w:val="51"/>
            </w:pPr>
            <w:r>
              <w:rPr>
                <w:rFonts w:hint="eastAsia"/>
              </w:rPr>
              <w:t>是否通过验收</w:t>
            </w:r>
          </w:p>
        </w:tc>
        <w:tc>
          <w:tcPr>
            <w:tcW w:w="816" w:type="dxa"/>
            <w:tcBorders>
              <w:left w:val="single" w:color="auto" w:sz="4" w:space="0"/>
            </w:tcBorders>
            <w:vAlign w:val="center"/>
          </w:tcPr>
          <w:p>
            <w:pPr>
              <w:pStyle w:val="51"/>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7" w:hRule="atLeast"/>
          <w:jc w:val="center"/>
        </w:trPr>
        <w:tc>
          <w:tcPr>
            <w:tcW w:w="773" w:type="dxa"/>
            <w:vAlign w:val="center"/>
          </w:tcPr>
          <w:p>
            <w:pPr>
              <w:pStyle w:val="51"/>
            </w:pPr>
          </w:p>
        </w:tc>
        <w:tc>
          <w:tcPr>
            <w:tcW w:w="1545" w:type="dxa"/>
            <w:vAlign w:val="center"/>
          </w:tcPr>
          <w:p>
            <w:pPr>
              <w:pStyle w:val="51"/>
            </w:pPr>
          </w:p>
        </w:tc>
        <w:tc>
          <w:tcPr>
            <w:tcW w:w="1416" w:type="dxa"/>
            <w:vAlign w:val="center"/>
          </w:tcPr>
          <w:p>
            <w:pPr>
              <w:pStyle w:val="51"/>
            </w:pPr>
          </w:p>
        </w:tc>
        <w:tc>
          <w:tcPr>
            <w:tcW w:w="1246" w:type="dxa"/>
            <w:vAlign w:val="center"/>
          </w:tcPr>
          <w:p>
            <w:pPr>
              <w:pStyle w:val="51"/>
            </w:pPr>
          </w:p>
        </w:tc>
        <w:tc>
          <w:tcPr>
            <w:tcW w:w="1243" w:type="dxa"/>
            <w:vAlign w:val="center"/>
          </w:tcPr>
          <w:p>
            <w:pPr>
              <w:pStyle w:val="51"/>
            </w:pPr>
          </w:p>
        </w:tc>
        <w:tc>
          <w:tcPr>
            <w:tcW w:w="1804" w:type="dxa"/>
            <w:tcBorders>
              <w:right w:val="single" w:color="auto" w:sz="4" w:space="0"/>
            </w:tcBorders>
            <w:vAlign w:val="center"/>
          </w:tcPr>
          <w:p>
            <w:pPr>
              <w:pStyle w:val="51"/>
            </w:pPr>
          </w:p>
        </w:tc>
        <w:tc>
          <w:tcPr>
            <w:tcW w:w="816" w:type="dxa"/>
            <w:tcBorders>
              <w:left w:val="single" w:color="auto" w:sz="4" w:space="0"/>
            </w:tcBorders>
            <w:vAlign w:val="center"/>
          </w:tcPr>
          <w:p>
            <w:pPr>
              <w:pStyle w:val="51"/>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7" w:hRule="atLeast"/>
          <w:jc w:val="center"/>
        </w:trPr>
        <w:tc>
          <w:tcPr>
            <w:tcW w:w="773" w:type="dxa"/>
            <w:vAlign w:val="center"/>
          </w:tcPr>
          <w:p>
            <w:pPr>
              <w:pStyle w:val="51"/>
            </w:pPr>
          </w:p>
        </w:tc>
        <w:tc>
          <w:tcPr>
            <w:tcW w:w="1545" w:type="dxa"/>
            <w:vAlign w:val="center"/>
          </w:tcPr>
          <w:p>
            <w:pPr>
              <w:pStyle w:val="51"/>
            </w:pPr>
          </w:p>
        </w:tc>
        <w:tc>
          <w:tcPr>
            <w:tcW w:w="1416" w:type="dxa"/>
            <w:vAlign w:val="center"/>
          </w:tcPr>
          <w:p>
            <w:pPr>
              <w:pStyle w:val="51"/>
            </w:pPr>
          </w:p>
        </w:tc>
        <w:tc>
          <w:tcPr>
            <w:tcW w:w="1246" w:type="dxa"/>
            <w:vAlign w:val="center"/>
          </w:tcPr>
          <w:p>
            <w:pPr>
              <w:pStyle w:val="51"/>
            </w:pPr>
          </w:p>
        </w:tc>
        <w:tc>
          <w:tcPr>
            <w:tcW w:w="1243" w:type="dxa"/>
            <w:vAlign w:val="center"/>
          </w:tcPr>
          <w:p>
            <w:pPr>
              <w:pStyle w:val="51"/>
            </w:pPr>
          </w:p>
        </w:tc>
        <w:tc>
          <w:tcPr>
            <w:tcW w:w="1804" w:type="dxa"/>
            <w:tcBorders>
              <w:right w:val="single" w:color="auto" w:sz="4" w:space="0"/>
            </w:tcBorders>
            <w:vAlign w:val="center"/>
          </w:tcPr>
          <w:p>
            <w:pPr>
              <w:pStyle w:val="51"/>
            </w:pPr>
          </w:p>
        </w:tc>
        <w:tc>
          <w:tcPr>
            <w:tcW w:w="816" w:type="dxa"/>
            <w:tcBorders>
              <w:left w:val="single" w:color="auto" w:sz="4" w:space="0"/>
            </w:tcBorders>
            <w:vAlign w:val="center"/>
          </w:tcPr>
          <w:p>
            <w:pPr>
              <w:pStyle w:val="51"/>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7" w:hRule="atLeast"/>
          <w:jc w:val="center"/>
        </w:trPr>
        <w:tc>
          <w:tcPr>
            <w:tcW w:w="773" w:type="dxa"/>
            <w:vAlign w:val="center"/>
          </w:tcPr>
          <w:p>
            <w:pPr>
              <w:pStyle w:val="51"/>
            </w:pPr>
          </w:p>
        </w:tc>
        <w:tc>
          <w:tcPr>
            <w:tcW w:w="1545" w:type="dxa"/>
            <w:vAlign w:val="center"/>
          </w:tcPr>
          <w:p>
            <w:pPr>
              <w:pStyle w:val="51"/>
            </w:pPr>
          </w:p>
        </w:tc>
        <w:tc>
          <w:tcPr>
            <w:tcW w:w="1416" w:type="dxa"/>
            <w:vAlign w:val="center"/>
          </w:tcPr>
          <w:p>
            <w:pPr>
              <w:pStyle w:val="51"/>
            </w:pPr>
          </w:p>
        </w:tc>
        <w:tc>
          <w:tcPr>
            <w:tcW w:w="1246" w:type="dxa"/>
            <w:vAlign w:val="center"/>
          </w:tcPr>
          <w:p>
            <w:pPr>
              <w:pStyle w:val="51"/>
            </w:pPr>
          </w:p>
        </w:tc>
        <w:tc>
          <w:tcPr>
            <w:tcW w:w="1243" w:type="dxa"/>
            <w:vAlign w:val="center"/>
          </w:tcPr>
          <w:p>
            <w:pPr>
              <w:pStyle w:val="51"/>
            </w:pPr>
          </w:p>
        </w:tc>
        <w:tc>
          <w:tcPr>
            <w:tcW w:w="1804" w:type="dxa"/>
            <w:tcBorders>
              <w:right w:val="single" w:color="auto" w:sz="4" w:space="0"/>
            </w:tcBorders>
            <w:vAlign w:val="center"/>
          </w:tcPr>
          <w:p>
            <w:pPr>
              <w:pStyle w:val="51"/>
            </w:pPr>
          </w:p>
        </w:tc>
        <w:tc>
          <w:tcPr>
            <w:tcW w:w="816" w:type="dxa"/>
            <w:tcBorders>
              <w:left w:val="single" w:color="auto" w:sz="4" w:space="0"/>
            </w:tcBorders>
            <w:vAlign w:val="center"/>
          </w:tcPr>
          <w:p>
            <w:pPr>
              <w:pStyle w:val="51"/>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7" w:hRule="atLeast"/>
          <w:jc w:val="center"/>
        </w:trPr>
        <w:tc>
          <w:tcPr>
            <w:tcW w:w="773" w:type="dxa"/>
            <w:vAlign w:val="center"/>
          </w:tcPr>
          <w:p>
            <w:pPr>
              <w:pStyle w:val="51"/>
            </w:pPr>
          </w:p>
        </w:tc>
        <w:tc>
          <w:tcPr>
            <w:tcW w:w="1545" w:type="dxa"/>
            <w:tcBorders>
              <w:right w:val="single" w:color="auto" w:sz="4" w:space="0"/>
            </w:tcBorders>
            <w:vAlign w:val="center"/>
          </w:tcPr>
          <w:p>
            <w:pPr>
              <w:pStyle w:val="51"/>
            </w:pPr>
          </w:p>
        </w:tc>
        <w:tc>
          <w:tcPr>
            <w:tcW w:w="1416" w:type="dxa"/>
            <w:tcBorders>
              <w:left w:val="single" w:color="auto" w:sz="4" w:space="0"/>
            </w:tcBorders>
            <w:vAlign w:val="center"/>
          </w:tcPr>
          <w:p>
            <w:pPr>
              <w:pStyle w:val="51"/>
            </w:pPr>
          </w:p>
        </w:tc>
        <w:tc>
          <w:tcPr>
            <w:tcW w:w="1246" w:type="dxa"/>
            <w:vAlign w:val="center"/>
          </w:tcPr>
          <w:p>
            <w:pPr>
              <w:pStyle w:val="51"/>
            </w:pPr>
          </w:p>
        </w:tc>
        <w:tc>
          <w:tcPr>
            <w:tcW w:w="1243" w:type="dxa"/>
            <w:vAlign w:val="center"/>
          </w:tcPr>
          <w:p>
            <w:pPr>
              <w:pStyle w:val="51"/>
            </w:pPr>
          </w:p>
        </w:tc>
        <w:tc>
          <w:tcPr>
            <w:tcW w:w="1804" w:type="dxa"/>
            <w:tcBorders>
              <w:right w:val="single" w:color="auto" w:sz="4" w:space="0"/>
            </w:tcBorders>
            <w:vAlign w:val="center"/>
          </w:tcPr>
          <w:p>
            <w:pPr>
              <w:pStyle w:val="51"/>
            </w:pPr>
          </w:p>
        </w:tc>
        <w:tc>
          <w:tcPr>
            <w:tcW w:w="816" w:type="dxa"/>
            <w:tcBorders>
              <w:left w:val="single" w:color="auto" w:sz="4" w:space="0"/>
            </w:tcBorders>
            <w:vAlign w:val="center"/>
          </w:tcPr>
          <w:p>
            <w:pPr>
              <w:pStyle w:val="51"/>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7" w:hRule="atLeast"/>
          <w:jc w:val="center"/>
        </w:trPr>
        <w:tc>
          <w:tcPr>
            <w:tcW w:w="773" w:type="dxa"/>
            <w:tcBorders>
              <w:right w:val="single" w:color="auto" w:sz="4" w:space="0"/>
            </w:tcBorders>
            <w:vAlign w:val="center"/>
          </w:tcPr>
          <w:p>
            <w:pPr>
              <w:pStyle w:val="51"/>
            </w:pPr>
          </w:p>
        </w:tc>
        <w:tc>
          <w:tcPr>
            <w:tcW w:w="1545" w:type="dxa"/>
            <w:tcBorders>
              <w:left w:val="single" w:color="auto" w:sz="4" w:space="0"/>
              <w:right w:val="single" w:color="auto" w:sz="4" w:space="0"/>
            </w:tcBorders>
            <w:vAlign w:val="center"/>
          </w:tcPr>
          <w:p>
            <w:pPr>
              <w:pStyle w:val="51"/>
            </w:pPr>
          </w:p>
        </w:tc>
        <w:tc>
          <w:tcPr>
            <w:tcW w:w="1416" w:type="dxa"/>
            <w:tcBorders>
              <w:left w:val="single" w:color="auto" w:sz="4" w:space="0"/>
              <w:right w:val="single" w:color="auto" w:sz="4" w:space="0"/>
            </w:tcBorders>
            <w:vAlign w:val="center"/>
          </w:tcPr>
          <w:p>
            <w:pPr>
              <w:pStyle w:val="51"/>
            </w:pPr>
          </w:p>
        </w:tc>
        <w:tc>
          <w:tcPr>
            <w:tcW w:w="1246" w:type="dxa"/>
            <w:tcBorders>
              <w:left w:val="single" w:color="auto" w:sz="4" w:space="0"/>
              <w:right w:val="single" w:color="auto" w:sz="4" w:space="0"/>
            </w:tcBorders>
            <w:vAlign w:val="center"/>
          </w:tcPr>
          <w:p>
            <w:pPr>
              <w:pStyle w:val="51"/>
            </w:pPr>
          </w:p>
        </w:tc>
        <w:tc>
          <w:tcPr>
            <w:tcW w:w="1243" w:type="dxa"/>
            <w:tcBorders>
              <w:left w:val="single" w:color="auto" w:sz="4" w:space="0"/>
              <w:right w:val="single" w:color="auto" w:sz="4" w:space="0"/>
            </w:tcBorders>
            <w:vAlign w:val="center"/>
          </w:tcPr>
          <w:p>
            <w:pPr>
              <w:pStyle w:val="51"/>
            </w:pPr>
          </w:p>
        </w:tc>
        <w:tc>
          <w:tcPr>
            <w:tcW w:w="1804" w:type="dxa"/>
            <w:tcBorders>
              <w:left w:val="single" w:color="auto" w:sz="4" w:space="0"/>
              <w:right w:val="single" w:color="auto" w:sz="4" w:space="0"/>
            </w:tcBorders>
            <w:vAlign w:val="center"/>
          </w:tcPr>
          <w:p>
            <w:pPr>
              <w:pStyle w:val="51"/>
            </w:pPr>
          </w:p>
        </w:tc>
        <w:tc>
          <w:tcPr>
            <w:tcW w:w="816" w:type="dxa"/>
            <w:tcBorders>
              <w:left w:val="single" w:color="auto" w:sz="4" w:space="0"/>
            </w:tcBorders>
            <w:vAlign w:val="center"/>
          </w:tcPr>
          <w:p>
            <w:pPr>
              <w:pStyle w:val="51"/>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7" w:hRule="atLeast"/>
          <w:jc w:val="center"/>
        </w:trPr>
        <w:tc>
          <w:tcPr>
            <w:tcW w:w="773" w:type="dxa"/>
            <w:vAlign w:val="center"/>
          </w:tcPr>
          <w:p>
            <w:pPr>
              <w:pStyle w:val="51"/>
            </w:pPr>
          </w:p>
        </w:tc>
        <w:tc>
          <w:tcPr>
            <w:tcW w:w="1545" w:type="dxa"/>
            <w:vAlign w:val="center"/>
          </w:tcPr>
          <w:p>
            <w:pPr>
              <w:pStyle w:val="51"/>
            </w:pPr>
          </w:p>
        </w:tc>
        <w:tc>
          <w:tcPr>
            <w:tcW w:w="1416" w:type="dxa"/>
            <w:vAlign w:val="center"/>
          </w:tcPr>
          <w:p>
            <w:pPr>
              <w:pStyle w:val="51"/>
            </w:pPr>
          </w:p>
        </w:tc>
        <w:tc>
          <w:tcPr>
            <w:tcW w:w="1246" w:type="dxa"/>
            <w:vAlign w:val="center"/>
          </w:tcPr>
          <w:p>
            <w:pPr>
              <w:pStyle w:val="51"/>
            </w:pPr>
          </w:p>
        </w:tc>
        <w:tc>
          <w:tcPr>
            <w:tcW w:w="1243" w:type="dxa"/>
            <w:tcBorders>
              <w:right w:val="single" w:color="auto" w:sz="4" w:space="0"/>
            </w:tcBorders>
            <w:vAlign w:val="center"/>
          </w:tcPr>
          <w:p>
            <w:pPr>
              <w:pStyle w:val="51"/>
            </w:pPr>
          </w:p>
        </w:tc>
        <w:tc>
          <w:tcPr>
            <w:tcW w:w="1804" w:type="dxa"/>
            <w:tcBorders>
              <w:left w:val="single" w:color="auto" w:sz="4" w:space="0"/>
              <w:right w:val="single" w:color="auto" w:sz="4" w:space="0"/>
            </w:tcBorders>
            <w:vAlign w:val="center"/>
          </w:tcPr>
          <w:p>
            <w:pPr>
              <w:pStyle w:val="51"/>
            </w:pPr>
          </w:p>
        </w:tc>
        <w:tc>
          <w:tcPr>
            <w:tcW w:w="816" w:type="dxa"/>
            <w:tcBorders>
              <w:left w:val="single" w:color="auto" w:sz="4" w:space="0"/>
            </w:tcBorders>
            <w:vAlign w:val="center"/>
          </w:tcPr>
          <w:p>
            <w:pPr>
              <w:pStyle w:val="51"/>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7" w:hRule="atLeast"/>
          <w:jc w:val="center"/>
        </w:trPr>
        <w:tc>
          <w:tcPr>
            <w:tcW w:w="773" w:type="dxa"/>
            <w:vAlign w:val="center"/>
          </w:tcPr>
          <w:p>
            <w:pPr>
              <w:pStyle w:val="51"/>
            </w:pPr>
          </w:p>
        </w:tc>
        <w:tc>
          <w:tcPr>
            <w:tcW w:w="1545" w:type="dxa"/>
            <w:vAlign w:val="center"/>
          </w:tcPr>
          <w:p>
            <w:pPr>
              <w:pStyle w:val="51"/>
            </w:pPr>
          </w:p>
        </w:tc>
        <w:tc>
          <w:tcPr>
            <w:tcW w:w="1416" w:type="dxa"/>
            <w:vAlign w:val="center"/>
          </w:tcPr>
          <w:p>
            <w:pPr>
              <w:pStyle w:val="51"/>
            </w:pPr>
          </w:p>
        </w:tc>
        <w:tc>
          <w:tcPr>
            <w:tcW w:w="1246" w:type="dxa"/>
            <w:vAlign w:val="center"/>
          </w:tcPr>
          <w:p>
            <w:pPr>
              <w:pStyle w:val="51"/>
            </w:pPr>
          </w:p>
        </w:tc>
        <w:tc>
          <w:tcPr>
            <w:tcW w:w="1243" w:type="dxa"/>
            <w:tcBorders>
              <w:right w:val="single" w:color="auto" w:sz="4" w:space="0"/>
            </w:tcBorders>
            <w:vAlign w:val="center"/>
          </w:tcPr>
          <w:p>
            <w:pPr>
              <w:pStyle w:val="51"/>
            </w:pPr>
          </w:p>
        </w:tc>
        <w:tc>
          <w:tcPr>
            <w:tcW w:w="1804" w:type="dxa"/>
            <w:tcBorders>
              <w:left w:val="single" w:color="auto" w:sz="4" w:space="0"/>
              <w:right w:val="single" w:color="auto" w:sz="4" w:space="0"/>
            </w:tcBorders>
            <w:vAlign w:val="center"/>
          </w:tcPr>
          <w:p>
            <w:pPr>
              <w:pStyle w:val="51"/>
            </w:pPr>
          </w:p>
        </w:tc>
        <w:tc>
          <w:tcPr>
            <w:tcW w:w="816" w:type="dxa"/>
            <w:tcBorders>
              <w:left w:val="single" w:color="auto" w:sz="4" w:space="0"/>
            </w:tcBorders>
            <w:vAlign w:val="center"/>
          </w:tcPr>
          <w:p>
            <w:pPr>
              <w:pStyle w:val="51"/>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97" w:hRule="atLeast"/>
          <w:jc w:val="center"/>
        </w:trPr>
        <w:tc>
          <w:tcPr>
            <w:tcW w:w="773" w:type="dxa"/>
            <w:vAlign w:val="center"/>
          </w:tcPr>
          <w:p>
            <w:pPr>
              <w:pStyle w:val="51"/>
            </w:pPr>
          </w:p>
        </w:tc>
        <w:tc>
          <w:tcPr>
            <w:tcW w:w="1545" w:type="dxa"/>
            <w:vAlign w:val="center"/>
          </w:tcPr>
          <w:p>
            <w:pPr>
              <w:pStyle w:val="51"/>
            </w:pPr>
          </w:p>
        </w:tc>
        <w:tc>
          <w:tcPr>
            <w:tcW w:w="1416" w:type="dxa"/>
            <w:vAlign w:val="center"/>
          </w:tcPr>
          <w:p>
            <w:pPr>
              <w:pStyle w:val="51"/>
            </w:pPr>
          </w:p>
        </w:tc>
        <w:tc>
          <w:tcPr>
            <w:tcW w:w="1246" w:type="dxa"/>
            <w:vAlign w:val="center"/>
          </w:tcPr>
          <w:p>
            <w:pPr>
              <w:pStyle w:val="51"/>
            </w:pPr>
          </w:p>
        </w:tc>
        <w:tc>
          <w:tcPr>
            <w:tcW w:w="1243" w:type="dxa"/>
            <w:tcBorders>
              <w:right w:val="single" w:color="auto" w:sz="4" w:space="0"/>
            </w:tcBorders>
            <w:vAlign w:val="center"/>
          </w:tcPr>
          <w:p>
            <w:pPr>
              <w:pStyle w:val="51"/>
            </w:pPr>
          </w:p>
        </w:tc>
        <w:tc>
          <w:tcPr>
            <w:tcW w:w="1804" w:type="dxa"/>
            <w:tcBorders>
              <w:left w:val="single" w:color="auto" w:sz="4" w:space="0"/>
              <w:right w:val="single" w:color="auto" w:sz="4" w:space="0"/>
            </w:tcBorders>
            <w:vAlign w:val="center"/>
          </w:tcPr>
          <w:p>
            <w:pPr>
              <w:pStyle w:val="51"/>
            </w:pPr>
          </w:p>
        </w:tc>
        <w:tc>
          <w:tcPr>
            <w:tcW w:w="816" w:type="dxa"/>
            <w:tcBorders>
              <w:left w:val="single" w:color="auto" w:sz="4" w:space="0"/>
            </w:tcBorders>
            <w:vAlign w:val="center"/>
          </w:tcPr>
          <w:p>
            <w:pPr>
              <w:pStyle w:val="51"/>
            </w:pPr>
          </w:p>
        </w:tc>
      </w:tr>
    </w:tbl>
    <w:p>
      <w:pPr>
        <w:ind w:firstLine="480"/>
      </w:pPr>
    </w:p>
    <w:p>
      <w:pPr>
        <w:ind w:firstLine="360" w:firstLineChars="150"/>
      </w:pPr>
    </w:p>
    <w:p>
      <w:pPr>
        <w:ind w:firstLine="480"/>
      </w:pPr>
      <w:r>
        <w:rPr>
          <w:rFonts w:hint="eastAsia"/>
        </w:rPr>
        <w:t>供应商名称：XXXX（单位盖章）。</w:t>
      </w:r>
    </w:p>
    <w:p>
      <w:pPr>
        <w:ind w:firstLine="480"/>
      </w:pPr>
      <w:r>
        <w:rPr>
          <w:rFonts w:hint="eastAsia"/>
        </w:rPr>
        <w:t>法定代表人或授权代表（签字或加盖个人名章）：XXXX。</w:t>
      </w:r>
    </w:p>
    <w:p>
      <w:pPr>
        <w:ind w:firstLine="480"/>
      </w:pPr>
      <w:r>
        <w:rPr>
          <w:rFonts w:hint="eastAsia"/>
        </w:rPr>
        <w:t>投标日期: XXXX。</w:t>
      </w:r>
      <w:bookmarkStart w:id="227" w:name="_Toc469403780"/>
      <w:bookmarkStart w:id="228" w:name="_Toc217446090"/>
    </w:p>
    <w:p>
      <w:pPr>
        <w:widowControl/>
        <w:spacing w:line="240" w:lineRule="auto"/>
        <w:ind w:firstLine="0" w:firstLineChars="0"/>
        <w:jc w:val="left"/>
      </w:pPr>
      <w:r>
        <w:br w:type="page"/>
      </w:r>
    </w:p>
    <w:bookmarkEnd w:id="227"/>
    <w:bookmarkEnd w:id="228"/>
    <w:p>
      <w:pPr>
        <w:pStyle w:val="5"/>
      </w:pPr>
      <w:r>
        <w:rPr>
          <w:rFonts w:hint="eastAsia"/>
        </w:rPr>
        <w:t>原厂商开放源程序承诺函</w:t>
      </w:r>
    </w:p>
    <w:p>
      <w:pPr>
        <w:pStyle w:val="12"/>
        <w:spacing w:line="400" w:lineRule="exact"/>
        <w:ind w:left="480" w:right="240" w:firstLine="0" w:firstLineChars="0"/>
      </w:pPr>
      <w:bookmarkStart w:id="229" w:name="_Toc17169"/>
      <w:bookmarkStart w:id="230" w:name="_Toc17883"/>
      <w:bookmarkStart w:id="231" w:name="_Toc24394"/>
      <w:bookmarkStart w:id="232" w:name="_Toc26494"/>
      <w:bookmarkStart w:id="233" w:name="_Toc466893733"/>
      <w:bookmarkStart w:id="234" w:name="_Toc30489"/>
      <w:bookmarkStart w:id="235" w:name="_Toc440385069"/>
      <w:bookmarkStart w:id="236" w:name="_Toc474501729"/>
      <w:bookmarkStart w:id="237" w:name="_Toc466562888"/>
      <w:bookmarkStart w:id="238" w:name="_Toc28296"/>
      <w:bookmarkStart w:id="239" w:name="_Toc466889944"/>
      <w:bookmarkStart w:id="240" w:name="_Toc16493"/>
      <w:r>
        <w:rPr>
          <w:rFonts w:hint="eastAsia"/>
        </w:rPr>
        <w:t>四川省农村科技发展中心：</w:t>
      </w:r>
    </w:p>
    <w:p>
      <w:pPr>
        <w:ind w:right="-57" w:firstLine="480"/>
      </w:pPr>
      <w:r>
        <w:rPr>
          <w:rFonts w:hint="eastAsia"/>
        </w:rPr>
        <w:t>我单位</w:t>
      </w:r>
      <w:r>
        <w:rPr>
          <w:rFonts w:hint="eastAsia"/>
          <w:u w:val="single"/>
        </w:rPr>
        <w:t xml:space="preserve">                  （厂家名称）</w:t>
      </w:r>
      <w:r>
        <w:rPr>
          <w:rFonts w:hint="eastAsia"/>
        </w:rPr>
        <w:t xml:space="preserve">作为软件原厂商 </w:t>
      </w:r>
      <w:r>
        <w:rPr>
          <w:rFonts w:hint="eastAsia"/>
          <w:u w:val="single"/>
        </w:rPr>
        <w:t xml:space="preserve">                  </w:t>
      </w:r>
      <w:r>
        <w:rPr>
          <w:rFonts w:hint="eastAsia"/>
        </w:rPr>
        <w:t xml:space="preserve">参加 </w:t>
      </w:r>
      <w:r>
        <w:rPr>
          <w:u w:val="single"/>
        </w:rPr>
        <w:t xml:space="preserve">   </w:t>
      </w:r>
      <w:r>
        <w:rPr>
          <w:rFonts w:hint="eastAsia"/>
          <w:u w:val="single"/>
        </w:rPr>
        <w:t xml:space="preserve">     </w:t>
      </w:r>
      <w:r>
        <w:rPr>
          <w:u w:val="single"/>
        </w:rPr>
        <w:t xml:space="preserve">     </w:t>
      </w:r>
      <w:r>
        <w:rPr>
          <w:rFonts w:hint="eastAsia"/>
        </w:rPr>
        <w:t>的磋商活动，现本单位做出如下承诺：</w:t>
      </w:r>
    </w:p>
    <w:p>
      <w:pPr>
        <w:ind w:right="-57" w:firstLine="480"/>
      </w:pPr>
      <w:r>
        <w:rPr>
          <w:rFonts w:hint="eastAsia"/>
        </w:rPr>
        <w:t>（1）提供</w:t>
      </w:r>
      <w:r>
        <w:rPr>
          <w:rFonts w:hint="eastAsia" w:ascii="仿宋_GB2312" w:hAnsi="仿宋_GB2312" w:eastAsia="仿宋_GB2312"/>
        </w:rPr>
        <w:t>内控信息化管理平台软件</w:t>
      </w:r>
      <w:r>
        <w:rPr>
          <w:rFonts w:hint="eastAsia"/>
        </w:rPr>
        <w:t>的全部源程序代码。</w:t>
      </w:r>
    </w:p>
    <w:p>
      <w:pPr>
        <w:ind w:right="240" w:firstLine="480"/>
      </w:pPr>
      <w:r>
        <w:rPr>
          <w:rFonts w:hint="eastAsia"/>
        </w:rPr>
        <w:t>（</w:t>
      </w:r>
      <w:r>
        <w:t>2</w:t>
      </w:r>
      <w:r>
        <w:rPr>
          <w:rFonts w:hint="eastAsia"/>
        </w:rPr>
        <w:t>）提供</w:t>
      </w:r>
      <w:r>
        <w:rPr>
          <w:rFonts w:hint="eastAsia" w:ascii="仿宋_GB2312" w:hAnsi="仿宋_GB2312" w:eastAsia="仿宋_GB2312"/>
        </w:rPr>
        <w:t>内控信息化管理平台</w:t>
      </w:r>
      <w:r>
        <w:rPr>
          <w:rFonts w:hint="eastAsia"/>
        </w:rPr>
        <w:t>软件全部开发文档（包括但不限于软件需求文档、程序开发文档、数据库开发文档、系统部署维护文档等相关技术文档）。</w:t>
      </w:r>
    </w:p>
    <w:p>
      <w:pPr>
        <w:ind w:right="240" w:firstLine="480"/>
      </w:pPr>
      <w:r>
        <w:rPr>
          <w:rFonts w:hint="eastAsia"/>
        </w:rPr>
        <w:t>（3）投标价格内包括开放源码的费用。</w:t>
      </w:r>
    </w:p>
    <w:p>
      <w:pPr>
        <w:ind w:right="240" w:firstLine="480"/>
      </w:pPr>
    </w:p>
    <w:p>
      <w:pPr>
        <w:ind w:right="240" w:firstLine="480"/>
      </w:pPr>
    </w:p>
    <w:p>
      <w:pPr>
        <w:ind w:right="240" w:firstLine="480"/>
      </w:pPr>
      <w:r>
        <w:rPr>
          <w:rFonts w:hint="eastAsia"/>
        </w:rPr>
        <w:t>软件原厂商名称：        （盖章）</w:t>
      </w:r>
    </w:p>
    <w:p>
      <w:pPr>
        <w:ind w:right="240" w:firstLine="480"/>
      </w:pPr>
      <w:r>
        <w:rPr>
          <w:rFonts w:hint="eastAsia"/>
        </w:rPr>
        <w:t>法定代表人（签字）：</w:t>
      </w:r>
    </w:p>
    <w:p>
      <w:pPr>
        <w:ind w:right="240" w:firstLine="480"/>
      </w:pPr>
      <w:r>
        <w:rPr>
          <w:rFonts w:hint="eastAsia"/>
        </w:rPr>
        <w:t>通讯地址：XXXX</w:t>
      </w:r>
    </w:p>
    <w:p>
      <w:pPr>
        <w:ind w:right="240" w:firstLine="480"/>
      </w:pPr>
      <w:r>
        <w:rPr>
          <w:rFonts w:hint="eastAsia"/>
        </w:rPr>
        <w:t xml:space="preserve">邮政编码：XXXX </w:t>
      </w:r>
    </w:p>
    <w:p>
      <w:pPr>
        <w:ind w:right="240" w:firstLine="480"/>
      </w:pPr>
      <w:r>
        <w:rPr>
          <w:rFonts w:hint="eastAsia"/>
        </w:rPr>
        <w:t>联系电话：XXXX</w:t>
      </w:r>
    </w:p>
    <w:p>
      <w:pPr>
        <w:ind w:right="240" w:firstLine="480"/>
      </w:pPr>
      <w:r>
        <w:rPr>
          <w:rFonts w:hint="eastAsia"/>
        </w:rPr>
        <w:t xml:space="preserve">传    真：XXXX </w:t>
      </w:r>
    </w:p>
    <w:p>
      <w:pPr>
        <w:ind w:firstLine="480"/>
      </w:pPr>
      <w:r>
        <w:rPr>
          <w:rFonts w:hint="eastAsia"/>
        </w:rPr>
        <w:t>日    期：XXXX年XXXX月XXXX日</w:t>
      </w:r>
    </w:p>
    <w:p>
      <w:pPr>
        <w:ind w:right="240" w:firstLine="480"/>
      </w:pPr>
    </w:p>
    <w:p>
      <w:pPr>
        <w:ind w:firstLine="480"/>
      </w:pPr>
      <w:r>
        <w:br w:type="page"/>
      </w:r>
    </w:p>
    <w:p>
      <w:pPr>
        <w:pStyle w:val="5"/>
      </w:pPr>
      <w:r>
        <w:rPr>
          <w:rFonts w:hint="eastAsia"/>
        </w:rPr>
        <w:t>其他相关承诺</w:t>
      </w:r>
    </w:p>
    <w:p>
      <w:pPr>
        <w:pStyle w:val="12"/>
        <w:spacing w:line="400" w:lineRule="exact"/>
        <w:ind w:left="480" w:right="240" w:firstLine="0" w:firstLineChars="0"/>
      </w:pPr>
      <w:r>
        <w:rPr>
          <w:rFonts w:hint="eastAsia"/>
        </w:rPr>
        <w:t>四川省农村科技发展中心：</w:t>
      </w:r>
    </w:p>
    <w:p>
      <w:pPr>
        <w:ind w:right="-57" w:firstLine="480"/>
      </w:pPr>
      <w:r>
        <w:rPr>
          <w:rFonts w:hint="eastAsia"/>
        </w:rPr>
        <w:t xml:space="preserve">本单位 </w:t>
      </w:r>
      <w:r>
        <w:rPr>
          <w:rFonts w:hint="eastAsia"/>
          <w:u w:val="single"/>
        </w:rPr>
        <w:t xml:space="preserve">                  （供应商名称）</w:t>
      </w:r>
      <w:r>
        <w:rPr>
          <w:rFonts w:hint="eastAsia"/>
        </w:rPr>
        <w:t xml:space="preserve">参加 </w:t>
      </w:r>
      <w:r>
        <w:rPr>
          <w:u w:val="single"/>
        </w:rPr>
        <w:t xml:space="preserve">        </w:t>
      </w:r>
      <w:r>
        <w:rPr>
          <w:rFonts w:hint="eastAsia"/>
        </w:rPr>
        <w:t>的磋商活动，现本单位做出如下承诺：</w:t>
      </w:r>
    </w:p>
    <w:p>
      <w:pPr>
        <w:ind w:right="-57" w:firstLine="480"/>
      </w:pPr>
      <w:r>
        <w:rPr>
          <w:rFonts w:hint="eastAsia"/>
        </w:rPr>
        <w:t>（1）我单位未纳入经营异常名录，至今仍在正常经营。</w:t>
      </w:r>
    </w:p>
    <w:p>
      <w:pPr>
        <w:ind w:right="-57" w:firstLine="480"/>
      </w:pPr>
      <w:r>
        <w:rPr>
          <w:rFonts w:hint="eastAsia"/>
        </w:rPr>
        <w:t>（</w:t>
      </w:r>
      <w:r>
        <w:t>2</w:t>
      </w:r>
      <w:r>
        <w:rPr>
          <w:rFonts w:hint="eastAsia"/>
        </w:rPr>
        <w:t>）我单位完全同意并遵循磋商文件关于合同分包、合同转包的相关规定。</w:t>
      </w:r>
    </w:p>
    <w:p>
      <w:pPr>
        <w:ind w:right="240" w:firstLine="480"/>
      </w:pPr>
      <w:r>
        <w:rPr>
          <w:rFonts w:hint="eastAsia"/>
        </w:rPr>
        <w:t>如违反以上承诺，本单位愿承担一切法律责任。</w:t>
      </w:r>
    </w:p>
    <w:p>
      <w:pPr>
        <w:ind w:right="240" w:firstLine="480"/>
      </w:pPr>
    </w:p>
    <w:p>
      <w:pPr>
        <w:ind w:right="240" w:firstLine="480"/>
      </w:pPr>
      <w:r>
        <w:rPr>
          <w:rFonts w:hint="eastAsia"/>
        </w:rPr>
        <w:t>单位名称：        （盖章）</w:t>
      </w:r>
    </w:p>
    <w:p>
      <w:pPr>
        <w:ind w:right="240" w:firstLine="480"/>
      </w:pPr>
      <w:r>
        <w:rPr>
          <w:rFonts w:hint="eastAsia"/>
        </w:rPr>
        <w:t>法定代表人或授权代表（签字或盖个人名章）：</w:t>
      </w:r>
    </w:p>
    <w:p>
      <w:pPr>
        <w:ind w:right="240" w:firstLine="480"/>
      </w:pPr>
      <w:r>
        <w:rPr>
          <w:rFonts w:hint="eastAsia"/>
        </w:rPr>
        <w:t>日期</w:t>
      </w:r>
      <w:r>
        <w:t>:</w:t>
      </w:r>
    </w:p>
    <w:p>
      <w:pPr>
        <w:pStyle w:val="2"/>
        <w:ind w:firstLine="480"/>
      </w:pPr>
    </w:p>
    <w:p>
      <w:pPr>
        <w:widowControl/>
        <w:spacing w:line="240" w:lineRule="auto"/>
        <w:ind w:firstLine="0" w:firstLineChars="0"/>
      </w:pPr>
      <w:r>
        <w:br w:type="page"/>
      </w:r>
    </w:p>
    <w:p>
      <w:pPr>
        <w:pStyle w:val="5"/>
      </w:pPr>
      <w:bookmarkStart w:id="241" w:name="_Toc88748279"/>
      <w:bookmarkStart w:id="242" w:name="_Toc91071137"/>
      <w:bookmarkStart w:id="243" w:name="_Toc87641218"/>
      <w:r>
        <w:rPr>
          <w:rFonts w:hint="eastAsia"/>
        </w:rPr>
        <w:t>所需的其他文件</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pPr>
        <w:autoSpaceDE w:val="0"/>
        <w:autoSpaceDN w:val="0"/>
        <w:adjustRightInd w:val="0"/>
        <w:spacing w:before="163" w:beforeLines="50" w:after="163" w:afterLines="50" w:line="400" w:lineRule="exact"/>
        <w:ind w:right="240" w:firstLine="480"/>
        <w:rPr>
          <w:rFonts w:cs="宋体"/>
          <w:color w:val="000000"/>
          <w:kern w:val="0"/>
        </w:rPr>
      </w:pPr>
      <w:r>
        <w:rPr>
          <w:rFonts w:hint="eastAsia" w:cs="宋体"/>
          <w:color w:val="000000"/>
          <w:kern w:val="0"/>
        </w:rPr>
        <w:t>供应商按照磋商文件的要求或根据自身情况作出的其他响应，格式自行拟制。</w:t>
      </w:r>
    </w:p>
    <w:p>
      <w:pPr>
        <w:ind w:right="240" w:firstLine="0" w:firstLineChars="0"/>
      </w:pPr>
    </w:p>
    <w:p>
      <w:pPr>
        <w:widowControl/>
        <w:spacing w:line="240" w:lineRule="auto"/>
        <w:ind w:right="240" w:firstLine="0" w:firstLineChars="0"/>
      </w:pPr>
      <w:r>
        <w:br w:type="page"/>
      </w:r>
    </w:p>
    <w:p>
      <w:pPr>
        <w:pStyle w:val="4"/>
        <w:rPr>
          <w:rFonts w:ascii="仿宋" w:hAnsi="仿宋" w:eastAsia="仿宋"/>
        </w:rPr>
      </w:pPr>
      <w:bookmarkStart w:id="244" w:name="_Toc75966154"/>
      <w:bookmarkStart w:id="245" w:name="_Toc466562889"/>
      <w:bookmarkStart w:id="246" w:name="_Toc24245"/>
      <w:bookmarkStart w:id="247" w:name="_Toc13641"/>
      <w:bookmarkStart w:id="248" w:name="_Toc466889945"/>
      <w:bookmarkStart w:id="249" w:name="_Toc8715"/>
      <w:r>
        <w:rPr>
          <w:rFonts w:hint="eastAsia" w:ascii="仿宋" w:hAnsi="仿宋" w:eastAsia="仿宋"/>
        </w:rPr>
        <w:t>最终报价表格式</w:t>
      </w:r>
      <w:bookmarkEnd w:id="244"/>
      <w:bookmarkEnd w:id="245"/>
      <w:bookmarkEnd w:id="246"/>
      <w:bookmarkEnd w:id="247"/>
      <w:bookmarkEnd w:id="248"/>
      <w:bookmarkEnd w:id="249"/>
    </w:p>
    <w:tbl>
      <w:tblPr>
        <w:tblStyle w:val="31"/>
        <w:tblW w:w="1033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65"/>
        <w:gridCol w:w="817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2165" w:type="dxa"/>
            <w:vAlign w:val="center"/>
          </w:tcPr>
          <w:p>
            <w:pPr>
              <w:pStyle w:val="15"/>
              <w:spacing w:before="163" w:beforeLines="50"/>
              <w:ind w:right="240" w:firstLine="21" w:firstLineChars="9"/>
              <w:jc w:val="center"/>
              <w:rPr>
                <w:rFonts w:ascii="仿宋" w:hAnsi="仿宋" w:eastAsia="仿宋"/>
                <w:b/>
                <w:szCs w:val="24"/>
              </w:rPr>
            </w:pPr>
            <w:r>
              <w:rPr>
                <w:rFonts w:hint="eastAsia" w:ascii="仿宋" w:hAnsi="仿宋" w:eastAsia="仿宋"/>
              </w:rPr>
              <w:t>项目名称</w:t>
            </w:r>
          </w:p>
        </w:tc>
        <w:tc>
          <w:tcPr>
            <w:tcW w:w="8174" w:type="dxa"/>
          </w:tcPr>
          <w:p>
            <w:pPr>
              <w:pStyle w:val="15"/>
              <w:spacing w:before="163" w:beforeLines="50"/>
              <w:ind w:right="240" w:firstLine="22" w:firstLineChars="9"/>
              <w:jc w:val="center"/>
              <w:rPr>
                <w:rFonts w:ascii="仿宋" w:hAnsi="仿宋" w:eastAsia="仿宋"/>
                <w:b/>
                <w:szCs w:val="24"/>
              </w:rPr>
            </w:pPr>
            <w:r>
              <w:rPr>
                <w:rFonts w:hint="eastAsia" w:ascii="仿宋" w:hAnsi="仿宋" w:eastAsia="仿宋"/>
                <w:b/>
                <w:szCs w:val="24"/>
              </w:rPr>
              <w:t>四川省农村科技发展中心内控信息化管理平台建设项目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40" w:hRule="atLeast"/>
          <w:jc w:val="center"/>
        </w:trPr>
        <w:tc>
          <w:tcPr>
            <w:tcW w:w="2165" w:type="dxa"/>
            <w:tcBorders>
              <w:right w:val="single" w:color="auto" w:sz="4" w:space="0"/>
            </w:tcBorders>
            <w:vAlign w:val="center"/>
          </w:tcPr>
          <w:p>
            <w:pPr>
              <w:pStyle w:val="15"/>
              <w:ind w:right="240" w:firstLine="0" w:firstLineChars="0"/>
              <w:jc w:val="center"/>
              <w:rPr>
                <w:rFonts w:ascii="仿宋" w:hAnsi="仿宋" w:eastAsia="仿宋"/>
                <w:b/>
              </w:rPr>
            </w:pPr>
            <w:r>
              <w:rPr>
                <w:rFonts w:hint="eastAsia" w:ascii="仿宋" w:hAnsi="仿宋" w:eastAsia="仿宋"/>
                <w:b/>
                <w:szCs w:val="24"/>
              </w:rPr>
              <w:t>报    价</w:t>
            </w:r>
          </w:p>
        </w:tc>
        <w:tc>
          <w:tcPr>
            <w:tcW w:w="8174" w:type="dxa"/>
            <w:tcBorders>
              <w:left w:val="single" w:color="auto" w:sz="4" w:space="0"/>
            </w:tcBorders>
            <w:vAlign w:val="center"/>
          </w:tcPr>
          <w:p>
            <w:pPr>
              <w:pStyle w:val="15"/>
              <w:ind w:right="240" w:firstLine="0" w:firstLineChars="0"/>
              <w:rPr>
                <w:rFonts w:ascii="仿宋" w:hAnsi="仿宋" w:eastAsia="仿宋"/>
                <w:szCs w:val="24"/>
              </w:rPr>
            </w:pPr>
            <w:r>
              <w:rPr>
                <w:rFonts w:hint="eastAsia" w:ascii="仿宋" w:hAnsi="仿宋" w:eastAsia="仿宋"/>
                <w:b/>
              </w:rPr>
              <w:t>人民币大写：</w:t>
            </w:r>
            <w:r>
              <w:rPr>
                <w:rFonts w:hint="eastAsia" w:ascii="仿宋" w:hAnsi="仿宋" w:eastAsia="仿宋"/>
                <w:b/>
                <w:u w:val="single"/>
              </w:rPr>
              <w:t xml:space="preserve">            </w:t>
            </w:r>
            <w:r>
              <w:rPr>
                <w:rFonts w:hint="eastAsia" w:ascii="仿宋" w:hAnsi="仿宋" w:eastAsia="仿宋"/>
                <w:b/>
              </w:rPr>
              <w:t>元（人民币小写：</w:t>
            </w:r>
            <w:r>
              <w:rPr>
                <w:rFonts w:ascii="仿宋" w:hAnsi="仿宋" w:eastAsia="仿宋"/>
                <w:b/>
                <w:u w:val="single"/>
              </w:rPr>
              <w:t xml:space="preserve">            </w:t>
            </w:r>
            <w:r>
              <w:rPr>
                <w:rFonts w:hint="eastAsia" w:ascii="仿宋" w:hAnsi="仿宋" w:eastAsia="仿宋"/>
                <w:b/>
              </w:rPr>
              <w:t>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40" w:hRule="atLeast"/>
          <w:jc w:val="center"/>
        </w:trPr>
        <w:tc>
          <w:tcPr>
            <w:tcW w:w="2165" w:type="dxa"/>
            <w:tcBorders>
              <w:right w:val="single" w:color="auto" w:sz="4" w:space="0"/>
            </w:tcBorders>
            <w:vAlign w:val="center"/>
          </w:tcPr>
          <w:p>
            <w:pPr>
              <w:pStyle w:val="15"/>
              <w:ind w:right="240" w:firstLine="0" w:firstLineChars="0"/>
              <w:jc w:val="center"/>
              <w:rPr>
                <w:rFonts w:ascii="仿宋" w:hAnsi="仿宋" w:eastAsia="仿宋"/>
                <w:b/>
                <w:szCs w:val="24"/>
              </w:rPr>
            </w:pPr>
            <w:r>
              <w:rPr>
                <w:rFonts w:hint="eastAsia" w:ascii="仿宋" w:hAnsi="仿宋" w:eastAsia="仿宋"/>
                <w:b/>
                <w:szCs w:val="24"/>
              </w:rPr>
              <w:t>备注</w:t>
            </w:r>
          </w:p>
        </w:tc>
        <w:tc>
          <w:tcPr>
            <w:tcW w:w="8174" w:type="dxa"/>
            <w:tcBorders>
              <w:left w:val="single" w:color="auto" w:sz="4" w:space="0"/>
            </w:tcBorders>
            <w:vAlign w:val="center"/>
          </w:tcPr>
          <w:p>
            <w:pPr>
              <w:pStyle w:val="15"/>
              <w:ind w:right="240" w:firstLine="0" w:firstLineChars="0"/>
              <w:rPr>
                <w:rFonts w:ascii="仿宋" w:hAnsi="仿宋" w:eastAsia="仿宋"/>
                <w:b/>
              </w:rPr>
            </w:pPr>
          </w:p>
        </w:tc>
      </w:tr>
    </w:tbl>
    <w:p>
      <w:pPr>
        <w:spacing w:line="400" w:lineRule="exact"/>
        <w:ind w:right="-57" w:firstLine="0" w:firstLineChars="0"/>
        <w:rPr>
          <w:bCs/>
        </w:rPr>
      </w:pPr>
      <w:r>
        <w:rPr>
          <w:rFonts w:hint="eastAsia"/>
        </w:rPr>
        <w:t>注：</w:t>
      </w:r>
      <w:r>
        <w:rPr>
          <w:rFonts w:hint="eastAsia"/>
          <w:color w:val="000000"/>
        </w:rPr>
        <w:t>报价应是最终用户验收合格后的总价，包括</w:t>
      </w:r>
      <w:r>
        <w:rPr>
          <w:rFonts w:hint="eastAsia"/>
          <w:bCs/>
          <w:color w:val="000000"/>
        </w:rPr>
        <w:t>成本、利润、税金、</w:t>
      </w:r>
      <w:r>
        <w:rPr>
          <w:bCs/>
          <w:color w:val="000000"/>
        </w:rPr>
        <w:t>运输、安装、人员</w:t>
      </w:r>
      <w:r>
        <w:rPr>
          <w:rFonts w:hint="eastAsia"/>
          <w:bCs/>
          <w:color w:val="000000"/>
        </w:rPr>
        <w:t>等所有费用</w:t>
      </w:r>
      <w:r>
        <w:rPr>
          <w:rFonts w:hint="eastAsia"/>
        </w:rPr>
        <w:t>。</w:t>
      </w:r>
    </w:p>
    <w:p>
      <w:pPr>
        <w:spacing w:line="400" w:lineRule="exact"/>
        <w:ind w:right="240" w:firstLine="480"/>
        <w:rPr>
          <w:color w:val="000000"/>
        </w:rPr>
      </w:pPr>
    </w:p>
    <w:p>
      <w:pPr>
        <w:ind w:right="240" w:firstLine="480"/>
      </w:pPr>
      <w:r>
        <w:rPr>
          <w:rFonts w:hint="eastAsia"/>
        </w:rPr>
        <w:t>供应商名称：XXXX。</w:t>
      </w:r>
    </w:p>
    <w:p>
      <w:pPr>
        <w:ind w:right="240" w:firstLine="480"/>
      </w:pPr>
      <w:r>
        <w:rPr>
          <w:rFonts w:hint="eastAsia"/>
        </w:rPr>
        <w:t>法定代表人或授权代表（签字）：XXXX。</w:t>
      </w:r>
    </w:p>
    <w:p>
      <w:pPr>
        <w:autoSpaceDE w:val="0"/>
        <w:autoSpaceDN w:val="0"/>
        <w:adjustRightInd w:val="0"/>
        <w:ind w:right="240" w:firstLine="480"/>
        <w:rPr>
          <w:rFonts w:cs="仿宋_GB2312"/>
          <w:color w:val="000000"/>
          <w:kern w:val="0"/>
          <w:u w:val="single"/>
        </w:rPr>
      </w:pPr>
      <w:r>
        <w:rPr>
          <w:rFonts w:hint="eastAsia"/>
        </w:rPr>
        <w:t>日    期：XXXX。</w:t>
      </w:r>
    </w:p>
    <w:p>
      <w:pPr>
        <w:ind w:right="240" w:firstLine="482"/>
        <w:rPr>
          <w:rFonts w:cs="仿宋_GB2312"/>
          <w:b/>
          <w:color w:val="000000"/>
          <w:kern w:val="0"/>
        </w:rPr>
      </w:pPr>
    </w:p>
    <w:p>
      <w:pPr>
        <w:ind w:right="240" w:firstLine="0" w:firstLineChars="0"/>
        <w:rPr>
          <w:rFonts w:cs="仿宋_GB2312"/>
          <w:b/>
          <w:color w:val="000000"/>
          <w:kern w:val="0"/>
        </w:rPr>
      </w:pPr>
      <w:r>
        <w:rPr>
          <w:rFonts w:hint="eastAsia" w:cs="仿宋_GB2312"/>
          <w:b/>
          <w:color w:val="000000"/>
          <w:kern w:val="0"/>
        </w:rPr>
        <w:t>注：本项目报价单（最后报价表）在供应商通过资格审查、磋商结束后填写。</w:t>
      </w:r>
    </w:p>
    <w:p>
      <w:pPr>
        <w:ind w:right="240" w:firstLine="0" w:firstLineChars="0"/>
        <w:rPr>
          <w:rFonts w:cs="仿宋_GB2312"/>
          <w:b/>
          <w:color w:val="000000"/>
          <w:kern w:val="0"/>
        </w:rPr>
      </w:pPr>
    </w:p>
    <w:p>
      <w:pPr>
        <w:widowControl/>
        <w:spacing w:line="240" w:lineRule="auto"/>
        <w:ind w:firstLine="0" w:firstLineChars="0"/>
        <w:jc w:val="left"/>
        <w:rPr>
          <w:rFonts w:cs="仿宋_GB2312"/>
          <w:b/>
          <w:color w:val="000000"/>
          <w:kern w:val="0"/>
        </w:rPr>
      </w:pPr>
      <w:r>
        <w:rPr>
          <w:rFonts w:cs="仿宋_GB2312"/>
          <w:b/>
          <w:color w:val="000000"/>
          <w:kern w:val="0"/>
        </w:rPr>
        <w:br w:type="page"/>
      </w:r>
      <w:bookmarkStart w:id="250" w:name="_Toc75966155"/>
      <w:bookmarkStart w:id="251" w:name="_Toc504045230"/>
      <w:bookmarkStart w:id="252" w:name="_Toc4271"/>
    </w:p>
    <w:p>
      <w:pPr>
        <w:pStyle w:val="3"/>
      </w:pPr>
      <w:bookmarkStart w:id="253" w:name="_Toc32032"/>
      <w:r>
        <w:rPr>
          <w:rFonts w:hint="eastAsia"/>
        </w:rPr>
        <w:t>磋商程序及评审相关内容</w:t>
      </w:r>
      <w:bookmarkEnd w:id="253"/>
    </w:p>
    <w:p>
      <w:pPr>
        <w:widowControl/>
        <w:spacing w:line="240" w:lineRule="auto"/>
        <w:ind w:firstLine="0" w:firstLineChars="0"/>
        <w:jc w:val="left"/>
        <w:rPr>
          <w:rFonts w:cs="仿宋_GB2312"/>
          <w:b/>
          <w:color w:val="000000"/>
          <w:kern w:val="0"/>
        </w:rPr>
      </w:pPr>
    </w:p>
    <w:bookmarkEnd w:id="250"/>
    <w:bookmarkEnd w:id="251"/>
    <w:bookmarkEnd w:id="252"/>
    <w:p>
      <w:pPr>
        <w:pStyle w:val="4"/>
        <w:numPr>
          <w:ilvl w:val="0"/>
          <w:numId w:val="18"/>
        </w:numPr>
        <w:rPr>
          <w:rFonts w:ascii="仿宋" w:hAnsi="仿宋" w:eastAsia="仿宋"/>
        </w:rPr>
      </w:pPr>
      <w:bookmarkStart w:id="254" w:name="_Toc16445"/>
      <w:bookmarkStart w:id="255" w:name="_Toc75966156"/>
      <w:bookmarkStart w:id="256" w:name="_Toc8056"/>
      <w:r>
        <w:rPr>
          <w:rFonts w:hint="eastAsia" w:ascii="仿宋" w:hAnsi="仿宋" w:eastAsia="仿宋"/>
        </w:rPr>
        <w:t>磋商程序</w:t>
      </w:r>
      <w:bookmarkEnd w:id="254"/>
      <w:bookmarkEnd w:id="255"/>
      <w:bookmarkEnd w:id="256"/>
    </w:p>
    <w:p>
      <w:pPr>
        <w:pStyle w:val="5"/>
      </w:pPr>
      <w:bookmarkStart w:id="257" w:name="_Toc87641222"/>
      <w:bookmarkStart w:id="258" w:name="_Toc88748283"/>
      <w:bookmarkStart w:id="259" w:name="_Toc91071141"/>
      <w:r>
        <w:rPr>
          <w:rFonts w:hint="eastAsia"/>
        </w:rPr>
        <w:t>磋商小组</w:t>
      </w:r>
      <w:bookmarkEnd w:id="257"/>
      <w:bookmarkEnd w:id="258"/>
      <w:bookmarkEnd w:id="259"/>
    </w:p>
    <w:p>
      <w:pPr>
        <w:ind w:firstLine="480"/>
      </w:pPr>
      <w:r>
        <w:rPr>
          <w:rFonts w:hint="eastAsia"/>
        </w:rPr>
        <w:t>磋商小组的组建及其评审工作按照有关法律制度和本磋商文件的规定进行。。</w:t>
      </w:r>
    </w:p>
    <w:p>
      <w:pPr>
        <w:pStyle w:val="5"/>
      </w:pPr>
      <w:bookmarkStart w:id="260" w:name="_Toc88748284"/>
      <w:bookmarkStart w:id="261" w:name="_Toc91071142"/>
      <w:bookmarkStart w:id="262" w:name="_Toc87641223"/>
      <w:r>
        <w:rPr>
          <w:rFonts w:hint="eastAsia"/>
        </w:rPr>
        <w:t>资格审查</w:t>
      </w:r>
      <w:bookmarkEnd w:id="260"/>
      <w:bookmarkEnd w:id="261"/>
      <w:bookmarkEnd w:id="262"/>
    </w:p>
    <w:p>
      <w:pPr>
        <w:pStyle w:val="6"/>
      </w:pPr>
      <w:r>
        <w:rPr>
          <w:rFonts w:hint="eastAsia"/>
        </w:rPr>
        <w:t>磋商小组依据法律法规和磋商文件的规定，审查供应商是否具备磋商资格。</w:t>
      </w:r>
    </w:p>
    <w:p>
      <w:pPr>
        <w:pStyle w:val="6"/>
      </w:pPr>
      <w:r>
        <w:rPr>
          <w:rFonts w:hint="eastAsia"/>
        </w:rPr>
        <w:t>磋商小组资格审查结束后，应当向采购组织单位出具资格审查报告，并按照磋商文件的规定确定参加磋商的供应商名单。没有通过资格审查的供应商，磋商小组应当在资格审查报告中说明原因。</w:t>
      </w:r>
    </w:p>
    <w:p>
      <w:pPr>
        <w:pStyle w:val="6"/>
      </w:pPr>
      <w:r>
        <w:rPr>
          <w:rFonts w:hint="eastAsia"/>
        </w:rPr>
        <w:t>磋商小组出具资格审查报告后，采购组织单位应当将通过资格审查和未通过资格审查的供应商名单向所有供应商当场宣布。采购组织单位宣布未通过资格审查的供应商名单时，应当告知供应商未通过资格审查的原因。</w:t>
      </w:r>
    </w:p>
    <w:p>
      <w:pPr>
        <w:pStyle w:val="6"/>
      </w:pPr>
      <w:r>
        <w:rPr>
          <w:rFonts w:hint="eastAsia"/>
        </w:rPr>
        <w:t>资格审查报告应当由全体磋商小组成员签字确认。磋商小组成员对资格审查过程和结果有不同意见的，应当在资格审查报告中写明并说明理由。签字但不写明不同意见或者不说明理由的，视同无意见。拒不签字又不另行书面说明其不同意见和理由的，视同同意资格审查结果。</w:t>
      </w:r>
    </w:p>
    <w:p>
      <w:pPr>
        <w:pStyle w:val="5"/>
      </w:pPr>
      <w:bookmarkStart w:id="263" w:name="_Toc91071143"/>
      <w:bookmarkStart w:id="264" w:name="_Toc88748285"/>
      <w:r>
        <w:rPr>
          <w:rFonts w:hint="eastAsia"/>
        </w:rPr>
        <w:t>实质性审查</w:t>
      </w:r>
      <w:bookmarkEnd w:id="263"/>
      <w:bookmarkEnd w:id="264"/>
    </w:p>
    <w:p>
      <w:pPr>
        <w:ind w:firstLine="480"/>
      </w:pPr>
      <w:r>
        <w:rPr>
          <w:rFonts w:hint="eastAsia"/>
        </w:rPr>
        <w:t>供应商资格审查结束后，采购组织单位应当组织评审委员会按照磋商文件的规定对供应商的响应文件进行书面审查。供应商响应文件未实质性响应磋商文件的，评审委员会应当对其响应文件按无效处理，并书面告知供应商，说明理由。</w:t>
      </w:r>
    </w:p>
    <w:p>
      <w:pPr>
        <w:pStyle w:val="5"/>
      </w:pPr>
      <w:bookmarkStart w:id="265" w:name="_Toc88748286"/>
      <w:bookmarkStart w:id="266" w:name="_Toc87641224"/>
      <w:bookmarkStart w:id="267" w:name="_Toc91071144"/>
      <w:r>
        <w:rPr>
          <w:rFonts w:hint="eastAsia"/>
        </w:rPr>
        <w:t>磋商</w:t>
      </w:r>
      <w:bookmarkEnd w:id="265"/>
      <w:bookmarkEnd w:id="266"/>
      <w:bookmarkEnd w:id="267"/>
    </w:p>
    <w:p>
      <w:pPr>
        <w:pStyle w:val="6"/>
      </w:pPr>
      <w:r>
        <w:rPr>
          <w:rFonts w:hint="eastAsia"/>
        </w:rPr>
        <w:t>磋商小组按照磋商文件的规定与通过资格审查及实质性响应磋商文件的供应商分别进行磋商。</w:t>
      </w:r>
    </w:p>
    <w:p>
      <w:pPr>
        <w:pStyle w:val="6"/>
      </w:pPr>
      <w:r>
        <w:rPr>
          <w:rFonts w:hint="eastAsia"/>
        </w:rPr>
        <w:t>磋商的顺序以现场抽签或者其他能够给予供应商平等机会的方式确定。对于通过实质性审查的供应商如接到采购人的书面通知（邮件或短信），须在约定的时间前到达现场参与的磋商顺序抽取，采购人将根据已按时到达现场的供应商数量确定其对应靠前的签号进行随机抽取，未按时到达现场的供应商将根据其实质性审查表的顺序与所剩下的签号顺序匹配确定其磋商顺序。供应商参与本次采购活动，即表示接受上述约定，不得因未到现场而产生非法定权益的申请。</w:t>
      </w:r>
    </w:p>
    <w:p>
      <w:pPr>
        <w:pStyle w:val="6"/>
      </w:pPr>
      <w:r>
        <w:rPr>
          <w:rFonts w:hint="eastAsia"/>
        </w:rPr>
        <w:t>通过实质性审查的供应商如接到采购人的书面通知（邮件或短信），应当在约定的时间前到达指定地点参与项目的磋商工作，未按时到达现场的供应商视为自动放弃磋商及参与本项目后续采购活动的资格。供应商参与本次采购活动，即表示接受上述约定，不得因未到现场而产生非法定权益的申请。（实质性要求）</w:t>
      </w:r>
    </w:p>
    <w:p>
      <w:pPr>
        <w:pStyle w:val="6"/>
      </w:pPr>
      <w:r>
        <w:rPr>
          <w:rFonts w:hint="eastAsia"/>
        </w:rPr>
        <w:t>磋商过程中，磋商小组可以根据磋商文件和磋商情况实质性变动采购需求中的技术、服务要求以及合同草案条款，但不得变动磋商文件中的其他内容。实质性变动的内容，须经磋商小组中的采购人代表确认。</w:t>
      </w:r>
    </w:p>
    <w:p>
      <w:pPr>
        <w:pStyle w:val="6"/>
      </w:pPr>
      <w:r>
        <w:rPr>
          <w:rFonts w:hint="eastAsia"/>
        </w:rPr>
        <w:t>磋商小组变动磋商文件的，应当将变动的内容书面通知所有参加磋商的供应商，做好书面记录，同时要求供应商就变动的部分重新提交响应文件，并给予供应商重新提交响应文件的合理时间。</w:t>
      </w:r>
    </w:p>
    <w:p>
      <w:pPr>
        <w:pStyle w:val="6"/>
      </w:pPr>
      <w:r>
        <w:rPr>
          <w:rFonts w:hint="eastAsia"/>
        </w:rPr>
        <w:t>磋商过程中，磋商小组可以根据磋商情况调整磋商轮次。</w:t>
      </w:r>
    </w:p>
    <w:p>
      <w:pPr>
        <w:pStyle w:val="6"/>
      </w:pPr>
      <w:r>
        <w:rPr>
          <w:rFonts w:hint="eastAsia"/>
        </w:rPr>
        <w:t>磋商过程中，供应商可以根据磋商情况变更其响应文件，并将变更内容形成书面材料送磋商小组。供应商变更内容书面材料应当签字确认或者加盖公章，否则无效。供应商为自然人的，应当由本人签字并附身份证明。有效的变更内容书面材料应作为响应文件的一部分。（实质性要求）</w:t>
      </w:r>
    </w:p>
    <w:p>
      <w:pPr>
        <w:pStyle w:val="6"/>
      </w:pPr>
      <w:r>
        <w:rPr>
          <w:rFonts w:hint="eastAsia"/>
        </w:rPr>
        <w:t>供应商按照本项第</w:t>
      </w:r>
      <w:r>
        <w:t>4.5</w:t>
      </w:r>
      <w:r>
        <w:rPr>
          <w:rFonts w:hint="eastAsia"/>
        </w:rPr>
        <w:t>条的</w:t>
      </w:r>
      <w:r>
        <w:t>规定重新提交响应文件的，响应文件应当按照本项第4.7</w:t>
      </w:r>
      <w:r>
        <w:rPr>
          <w:rFonts w:hint="eastAsia"/>
        </w:rPr>
        <w:t>条的</w:t>
      </w:r>
      <w:r>
        <w:t>规定签字确认或者加盖公章，否则无效。</w:t>
      </w:r>
      <w:r>
        <w:rPr>
          <w:rFonts w:hint="eastAsia"/>
        </w:rPr>
        <w:t>（实质性要求）</w:t>
      </w:r>
    </w:p>
    <w:p>
      <w:pPr>
        <w:pStyle w:val="6"/>
      </w:pPr>
      <w:r>
        <w:rPr>
          <w:rFonts w:hint="eastAsia"/>
        </w:rPr>
        <w:t>本项目前期拒绝签订采购合同的成交供应商，不得参加对该项目的采购活动。（实质性要求）</w:t>
      </w:r>
    </w:p>
    <w:p>
      <w:pPr>
        <w:pStyle w:val="5"/>
      </w:pPr>
      <w:bookmarkStart w:id="268" w:name="_Toc87641225"/>
      <w:bookmarkStart w:id="269" w:name="_Toc91071145"/>
      <w:bookmarkStart w:id="270" w:name="_Toc88748287"/>
      <w:r>
        <w:rPr>
          <w:rFonts w:hint="eastAsia"/>
        </w:rPr>
        <w:t>最后报价</w:t>
      </w:r>
      <w:bookmarkEnd w:id="268"/>
      <w:bookmarkEnd w:id="269"/>
      <w:bookmarkEnd w:id="270"/>
    </w:p>
    <w:p>
      <w:pPr>
        <w:pStyle w:val="6"/>
      </w:pPr>
      <w:r>
        <w:rPr>
          <w:rFonts w:hint="eastAsia"/>
        </w:rPr>
        <w:t>磋商结束后，磋商小组应当要求所有实质性响应的供应商在规定时间内进行最后报价或者多轮报价后再最后报价。供应商如接到磋商小组出具的提交最后报价时间书面通知</w:t>
      </w:r>
      <w:r>
        <w:t>[由采购</w:t>
      </w:r>
      <w:r>
        <w:rPr>
          <w:rFonts w:hint="eastAsia"/>
        </w:rPr>
        <w:t>人</w:t>
      </w:r>
      <w:r>
        <w:t>书面通知（邮件或短信）]，须在规定时间内提交最后报价，未按时提交最后报价的视为自动放弃最后报价及参与本项目后续采购活动的资格。供应商参与本次采购活动，即表示接受上述约定，不得因此而产生非法定权益的申请。（实质性要求）</w:t>
      </w:r>
    </w:p>
    <w:p>
      <w:pPr>
        <w:pStyle w:val="6"/>
      </w:pPr>
      <w:r>
        <w:rPr>
          <w:rFonts w:hint="eastAsia"/>
        </w:rPr>
        <w:t>提交最后报价的供应商不得少于</w:t>
      </w:r>
      <w:r>
        <w:t>3家</w:t>
      </w:r>
      <w:r>
        <w:rPr>
          <w:rFonts w:hint="eastAsia"/>
        </w:rPr>
        <w:t>。最后报价是供应商响应文件的有效组成部分。</w:t>
      </w:r>
    </w:p>
    <w:p>
      <w:pPr>
        <w:pStyle w:val="6"/>
      </w:pPr>
      <w:r>
        <w:rPr>
          <w:rFonts w:hint="eastAsia"/>
        </w:rPr>
        <w:t>两轮（响应文件中的报价算一轮）以上报价的，供应商在未提高响应文件中承诺的产品及其服务质量的情况下，其最后报价不得高于对该项目之前的报价，否则，磋商小组应当对其响应文件按无效处理，并书面告知供应商，说明理由。（实质性要求）</w:t>
      </w:r>
    </w:p>
    <w:p>
      <w:pPr>
        <w:pStyle w:val="6"/>
      </w:pPr>
      <w:r>
        <w:rPr>
          <w:rFonts w:hint="eastAsia"/>
        </w:rPr>
        <w:t>供应商现场报价，应当在评审室外填写报价单，必须按照报价表格式完整填写，并签字或盖章，密封递交现场监督人员或采购工作人员。由工作人员收齐后集中递交磋商小组。工作人员不能拆封供应商报价单。供应商报价单应当签字确认或者加盖公章，否则无效。报价单的签字确认，供应商为法人的，由供应商法定代表人或者授权代表签字确认；供应商为其他组织的，由供应商主要负责人或者授权代表签字确认；供应商为自然人的，由其本人或者授权代表签字确认。（实质性要求）</w:t>
      </w:r>
    </w:p>
    <w:p>
      <w:pPr>
        <w:pStyle w:val="6"/>
      </w:pPr>
      <w:r>
        <w:rPr>
          <w:rFonts w:hint="eastAsia"/>
        </w:rPr>
        <w:t>最后报价的总价金额与按单价汇总金额不一致的，以单价汇总金额计算结果为准，但是单价金额出现计算错误、明显人为工作失误的除外，单价汇总金额比总价金额高，且超过采购预算或者本项目最高限价的，供应商响应文件应作为无效投标处理。（实质性要求）</w:t>
      </w:r>
    </w:p>
    <w:p>
      <w:pPr>
        <w:pStyle w:val="6"/>
      </w:pPr>
      <w:r>
        <w:rPr>
          <w:rFonts w:hint="eastAsia"/>
        </w:rPr>
        <w:t>最后报价的大写金额和小写金额不一致的，以大写金额为准，但大写金额出现文字错误，导致金额无法判断的除外；单价金额小数点有明显错位的，应以总价为准，并修改单价；对不同语言文本响应文件的解释发生异议的，以中文文本为准。出现本条价格修正时，修正后的报价按照“供应商的澄清、说明或者补正应当采用书面形式，并加盖公章，或者由法定代表人或其授权的代表签字。供应商的澄清、说明或者补正不得超出响应文件的范围或者改变响应文件的实质性内容。”的规定，经供应商确认后产生约束力，供应商不确认的，其响应文件无效。（实质性要求）</w:t>
      </w:r>
    </w:p>
    <w:p>
      <w:pPr>
        <w:pStyle w:val="5"/>
      </w:pPr>
      <w:bookmarkStart w:id="271" w:name="_Toc88748288"/>
      <w:bookmarkStart w:id="272" w:name="_Toc91071146"/>
      <w:bookmarkStart w:id="273" w:name="_Toc87641226"/>
      <w:r>
        <w:rPr>
          <w:rFonts w:hint="eastAsia"/>
        </w:rPr>
        <w:t>比较与评价</w:t>
      </w:r>
      <w:bookmarkEnd w:id="271"/>
      <w:bookmarkEnd w:id="272"/>
      <w:bookmarkEnd w:id="273"/>
    </w:p>
    <w:p>
      <w:pPr>
        <w:ind w:firstLine="480"/>
      </w:pPr>
      <w:r>
        <w:rPr>
          <w:rFonts w:hint="eastAsia"/>
        </w:rPr>
        <w:t>供应商最后报价结束后，磋商小组应当按照磋商文件中规定的评标方法和标准，对最后报价的供应商的响应文件和最后报价进行综合评分。</w:t>
      </w:r>
    </w:p>
    <w:p>
      <w:pPr>
        <w:pStyle w:val="5"/>
      </w:pPr>
      <w:bookmarkStart w:id="274" w:name="_Toc87641227"/>
      <w:bookmarkStart w:id="275" w:name="_Toc91071147"/>
      <w:bookmarkStart w:id="276" w:name="_Toc88748289"/>
      <w:r>
        <w:rPr>
          <w:rFonts w:hint="eastAsia"/>
        </w:rPr>
        <w:t>复核</w:t>
      </w:r>
      <w:bookmarkEnd w:id="274"/>
      <w:bookmarkEnd w:id="275"/>
      <w:bookmarkEnd w:id="276"/>
    </w:p>
    <w:p>
      <w:pPr>
        <w:ind w:firstLine="480"/>
      </w:pPr>
      <w:r>
        <w:rPr>
          <w:rFonts w:hint="eastAsia"/>
        </w:rPr>
        <w:t>供应商最后报价结束后，磋商小组应当进行评审复核，对拟推荐为成交候选供应商的、报价最低的、供应商资格审查未通过的、供应商被无效处理的重点复核。</w:t>
      </w:r>
    </w:p>
    <w:p>
      <w:pPr>
        <w:pStyle w:val="5"/>
      </w:pPr>
      <w:bookmarkStart w:id="277" w:name="_Toc91071148"/>
      <w:bookmarkStart w:id="278" w:name="_Toc88748290"/>
      <w:bookmarkStart w:id="279" w:name="_Toc87641228"/>
      <w:r>
        <w:rPr>
          <w:rFonts w:hint="eastAsia"/>
        </w:rPr>
        <w:t>推荐成交候选供应商</w:t>
      </w:r>
      <w:bookmarkEnd w:id="277"/>
      <w:bookmarkEnd w:id="278"/>
      <w:bookmarkEnd w:id="279"/>
    </w:p>
    <w:p>
      <w:pPr>
        <w:pStyle w:val="6"/>
      </w:pPr>
      <w:r>
        <w:rPr>
          <w:rFonts w:hint="eastAsia"/>
        </w:rPr>
        <w:t>成交候选供应商应当排序。成交候选供应商顺序按评审后得分由高到低顺序排列，推荐</w:t>
      </w:r>
      <w:r>
        <w:t>3名成交候选人</w:t>
      </w:r>
      <w:r>
        <w:rPr>
          <w:rFonts w:hint="eastAsia"/>
        </w:rPr>
        <w:t>，</w:t>
      </w:r>
      <w:r>
        <w:t>并编写评审报告。</w:t>
      </w:r>
      <w:r>
        <w:rPr>
          <w:rFonts w:hint="eastAsia"/>
        </w:rPr>
        <w:t>得分相同的，按最后报价由低到高顺序排列。得分且最后报价相同的，按照技术指标优劣顺序推荐。供应商得分且最后报价且技术指标分项得分均相同的，成交候选供应商并列。</w:t>
      </w:r>
    </w:p>
    <w:p>
      <w:pPr>
        <w:pStyle w:val="6"/>
      </w:pPr>
      <w:r>
        <w:rPr>
          <w:rFonts w:hint="eastAsia"/>
        </w:rPr>
        <w:t>推荐成交候选供应商后，磋商小组拟出具磋商报告前，采购组织单位应当组织2名以上的本单位工作人员，在采购现场监督人员的监督之下，依据有关的法律制度和磋商文件对评审结果进行复核，出具复核报告，存在资格性检查认定错误、分值汇总计算错误、分项评分超出评分标准范围、客观分评分不一致、经磋商小组一致认定评分畸高、畸低的情形，采购组织单位应当根据情况书面建议磋商小组现场修改评审结果。由磋商小组自主决定是否采纳采购组织单位的书面建议，并承担独立评审责任。磋商小组采纳采购组织单位书面建议的，应当按照规定现场修改评审结果或者重新评审，并在磋商报告中详细记载有关事宜；不采纳采购组织单位书面建议的，应当书面说明理由。采购组织单位书面建议未被磋商小组采纳的，应当按照规定程序要求继续组织实施采购活动，不得擅自中止采购活动。采购组织单位认为磋商小组评审结果不合法的，应当书面报告采购人。</w:t>
      </w:r>
    </w:p>
    <w:p>
      <w:pPr>
        <w:pStyle w:val="6"/>
      </w:pPr>
      <w:r>
        <w:rPr>
          <w:rFonts w:hint="eastAsia"/>
        </w:rPr>
        <w:t>采购组织单位复核过程中，磋商小组成员不得离开评审现场。</w:t>
      </w:r>
    </w:p>
    <w:p>
      <w:pPr>
        <w:pStyle w:val="5"/>
      </w:pPr>
      <w:bookmarkStart w:id="280" w:name="_Toc91071149"/>
      <w:bookmarkStart w:id="281" w:name="_Toc87641229"/>
      <w:bookmarkStart w:id="282" w:name="_Toc88748291"/>
      <w:r>
        <w:rPr>
          <w:rFonts w:hint="eastAsia"/>
        </w:rPr>
        <w:t>出具评审报告</w:t>
      </w:r>
      <w:bookmarkEnd w:id="280"/>
      <w:bookmarkEnd w:id="281"/>
      <w:bookmarkEnd w:id="282"/>
    </w:p>
    <w:p>
      <w:pPr>
        <w:pStyle w:val="6"/>
      </w:pPr>
      <w:r>
        <w:rPr>
          <w:rFonts w:hint="eastAsia"/>
        </w:rPr>
        <w:t>磋商小组推荐成交候选供应商后，应当向采购组织单位出具磋商报告，磋商报告应当包括下列内容。</w:t>
      </w:r>
    </w:p>
    <w:p>
      <w:pPr>
        <w:ind w:firstLine="480"/>
      </w:pPr>
      <w:r>
        <w:rPr>
          <w:rFonts w:hint="eastAsia"/>
        </w:rPr>
        <w:t>（1）邀请供应商参加采购活动的具体方式和相关情况，以及参加采购活动的供应商名单；</w:t>
      </w:r>
    </w:p>
    <w:p>
      <w:pPr>
        <w:ind w:firstLine="480"/>
      </w:pPr>
      <w:r>
        <w:rPr>
          <w:rFonts w:hint="eastAsia"/>
        </w:rPr>
        <w:t>（2）磋商日期和地点，磋商小组成员名单；</w:t>
      </w:r>
    </w:p>
    <w:p>
      <w:pPr>
        <w:ind w:firstLine="480"/>
      </w:pPr>
      <w:r>
        <w:rPr>
          <w:rFonts w:hint="eastAsia"/>
        </w:rPr>
        <w:t>（3）参加报价的供应商名单及报价情况和未参加报价的供应商名单及原因；</w:t>
      </w:r>
    </w:p>
    <w:p>
      <w:pPr>
        <w:ind w:firstLine="480"/>
      </w:pPr>
      <w:r>
        <w:rPr>
          <w:rFonts w:hint="eastAsia"/>
        </w:rPr>
        <w:t>（4）变动磋商文件实质性内容的有关资料及记录；</w:t>
      </w:r>
    </w:p>
    <w:p>
      <w:pPr>
        <w:ind w:firstLine="480"/>
      </w:pPr>
      <w:r>
        <w:rPr>
          <w:rFonts w:hint="eastAsia"/>
        </w:rPr>
        <w:t>（5）供应商响应文件响应磋商文件实质性要求情况及供应商变动响应文件有关资料及记录；</w:t>
      </w:r>
    </w:p>
    <w:p>
      <w:pPr>
        <w:ind w:firstLine="480"/>
      </w:pPr>
      <w:r>
        <w:rPr>
          <w:rFonts w:hint="eastAsia"/>
        </w:rPr>
        <w:t>（6）磋商情况记录和说明，包括对供应商的资格审查情况、供应商响应文件磋商情况等；</w:t>
      </w:r>
    </w:p>
    <w:p>
      <w:pPr>
        <w:ind w:firstLine="480"/>
      </w:pPr>
      <w:r>
        <w:rPr>
          <w:rFonts w:hint="eastAsia"/>
        </w:rPr>
        <w:t>（7）推荐的成交候选供应商名单及理由。</w:t>
      </w:r>
    </w:p>
    <w:p>
      <w:pPr>
        <w:pStyle w:val="6"/>
      </w:pPr>
      <w:r>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5"/>
      </w:pPr>
      <w:bookmarkStart w:id="283" w:name="_Toc88748292"/>
      <w:bookmarkStart w:id="284" w:name="_Toc87641230"/>
      <w:bookmarkStart w:id="285" w:name="_Toc91071150"/>
      <w:r>
        <w:rPr>
          <w:rFonts w:hint="eastAsia"/>
        </w:rPr>
        <w:t>结果确认、发布成交结果公告（发出成交通知书）</w:t>
      </w:r>
      <w:bookmarkEnd w:id="283"/>
      <w:bookmarkEnd w:id="284"/>
      <w:bookmarkEnd w:id="285"/>
    </w:p>
    <w:p>
      <w:pPr>
        <w:pStyle w:val="6"/>
      </w:pPr>
      <w:r>
        <w:rPr>
          <w:rFonts w:hint="eastAsia"/>
        </w:rPr>
        <w:t>采购人应当在收到评审报告后</w:t>
      </w:r>
      <w:r>
        <w:t>5个工作日内，从评审报告提出的成交候选供应商中，按照排序由高到低的原则确定成交供应商，采购人逾期未确定成交供应商且不提出异议的，视为确定评审报告提出的排序第一的供应商为成交供应商。</w:t>
      </w:r>
    </w:p>
    <w:p>
      <w:pPr>
        <w:pStyle w:val="6"/>
      </w:pPr>
      <w:r>
        <w:rPr>
          <w:rFonts w:hint="eastAsia"/>
        </w:rPr>
        <w:t>采购人按照规定发布成交结果公告，并同时发出成交通知书。成交供应商拒绝签订采购合同的，采购人可以按照相关法律</w:t>
      </w:r>
      <w:r>
        <w:t>法规</w:t>
      </w:r>
      <w:r>
        <w:rPr>
          <w:rFonts w:hint="eastAsia"/>
        </w:rPr>
        <w:t>确定其他供应商作为成交供应商并签订采购合同，也可以重新开展采购活动。</w:t>
      </w:r>
    </w:p>
    <w:p>
      <w:pPr>
        <w:pStyle w:val="5"/>
      </w:pPr>
      <w:bookmarkStart w:id="286" w:name="_Toc88748293"/>
      <w:bookmarkStart w:id="287" w:name="_Toc91071151"/>
      <w:bookmarkStart w:id="288" w:name="_Toc87641231"/>
      <w:r>
        <w:rPr>
          <w:rFonts w:hint="eastAsia"/>
        </w:rPr>
        <w:t>采购活动终止</w:t>
      </w:r>
      <w:bookmarkEnd w:id="286"/>
      <w:bookmarkEnd w:id="287"/>
      <w:bookmarkEnd w:id="288"/>
    </w:p>
    <w:p>
      <w:pPr>
        <w:ind w:firstLine="480"/>
        <w:rPr>
          <w:snapToGrid w:val="0"/>
        </w:rPr>
      </w:pPr>
      <w:r>
        <w:rPr>
          <w:snapToGrid w:val="0"/>
        </w:rPr>
        <w:t>出现下列情形之一的，采购人应当终止竞争性磋商采购活动，发布项目终止公告并说明原因，重新开展采购活动：</w:t>
      </w:r>
    </w:p>
    <w:p>
      <w:pPr>
        <w:ind w:firstLine="480"/>
        <w:rPr>
          <w:rFonts w:cs="宋体"/>
          <w:snapToGrid w:val="0"/>
          <w:kern w:val="0"/>
        </w:rPr>
      </w:pPr>
      <w:r>
        <w:rPr>
          <w:rFonts w:hint="eastAsia" w:cs="宋体"/>
          <w:snapToGrid w:val="0"/>
          <w:kern w:val="0"/>
        </w:rPr>
        <w:t>（一）因情况变化，不再符合规定的竞争性磋商采购方式适用情形的；</w:t>
      </w:r>
    </w:p>
    <w:p>
      <w:pPr>
        <w:ind w:firstLine="480"/>
        <w:rPr>
          <w:rFonts w:cs="宋体"/>
          <w:snapToGrid w:val="0"/>
          <w:kern w:val="0"/>
        </w:rPr>
      </w:pPr>
      <w:r>
        <w:rPr>
          <w:rFonts w:hint="eastAsia" w:cs="宋体"/>
          <w:snapToGrid w:val="0"/>
          <w:kern w:val="0"/>
        </w:rPr>
        <w:t>（二）出现影响采购公正的违法、违规行为的；</w:t>
      </w:r>
    </w:p>
    <w:p>
      <w:pPr>
        <w:ind w:firstLine="480"/>
        <w:rPr>
          <w:rFonts w:cs="宋体"/>
          <w:snapToGrid w:val="0"/>
          <w:kern w:val="0"/>
        </w:rPr>
      </w:pPr>
      <w:r>
        <w:rPr>
          <w:rFonts w:hint="eastAsia" w:cs="宋体"/>
          <w:snapToGrid w:val="0"/>
          <w:kern w:val="0"/>
        </w:rPr>
        <w:t>（三）除</w:t>
      </w:r>
      <w:r>
        <w:rPr>
          <w:rFonts w:hint="eastAsia"/>
          <w:snapToGrid w:val="0"/>
        </w:rPr>
        <w:t>“市场竞争不充分的科研项目，以及需要扶持的科技成果转化项目。”或“</w:t>
      </w:r>
      <w:r>
        <w:rPr>
          <w:rFonts w:hint="eastAsia"/>
        </w:rPr>
        <w:t>政府购买服务项目（含政府和社会资本合作项目）</w:t>
      </w:r>
      <w:r>
        <w:rPr>
          <w:rFonts w:hint="eastAsia"/>
          <w:snapToGrid w:val="0"/>
        </w:rPr>
        <w:t>”</w:t>
      </w:r>
      <w:r>
        <w:rPr>
          <w:rFonts w:hint="eastAsia" w:cs="宋体"/>
          <w:snapToGrid w:val="0"/>
          <w:kern w:val="0"/>
        </w:rPr>
        <w:t>的情形外，在采购过程中符合要求的供应商或者报价未超过采购预算的供应商不足</w:t>
      </w:r>
      <w:r>
        <w:rPr>
          <w:rFonts w:cs="宋体"/>
          <w:snapToGrid w:val="0"/>
          <w:kern w:val="0"/>
        </w:rPr>
        <w:t>3家的。</w:t>
      </w:r>
    </w:p>
    <w:p>
      <w:pPr>
        <w:pStyle w:val="5"/>
      </w:pPr>
      <w:bookmarkStart w:id="289" w:name="_Toc91071152"/>
      <w:bookmarkStart w:id="290" w:name="_Toc87641232"/>
      <w:bookmarkStart w:id="291" w:name="_Toc88748294"/>
      <w:r>
        <w:rPr>
          <w:rFonts w:hint="eastAsia"/>
        </w:rPr>
        <w:t>采购任务取消</w:t>
      </w:r>
      <w:bookmarkEnd w:id="289"/>
      <w:bookmarkEnd w:id="290"/>
      <w:bookmarkEnd w:id="291"/>
    </w:p>
    <w:p>
      <w:pPr>
        <w:ind w:firstLine="480"/>
        <w:rPr>
          <w:rFonts w:cs="宋体"/>
          <w:snapToGrid w:val="0"/>
          <w:kern w:val="0"/>
        </w:rPr>
      </w:pPr>
      <w:r>
        <w:rPr>
          <w:rFonts w:cs="宋体"/>
          <w:snapToGrid w:val="0"/>
          <w:kern w:val="0"/>
        </w:rPr>
        <w:t>在采购活动中因重大变故，采购任务取消的，采购人应当终止采购活动，通知所有参加采购活动的供应商，并将项目实施情况和采购任务取消原因报送</w:t>
      </w:r>
      <w:r>
        <w:rPr>
          <w:rFonts w:hint="eastAsia" w:cs="宋体"/>
          <w:snapToGrid w:val="0"/>
          <w:kern w:val="0"/>
        </w:rPr>
        <w:t>采购人</w:t>
      </w:r>
      <w:r>
        <w:rPr>
          <w:rFonts w:cs="宋体"/>
          <w:snapToGrid w:val="0"/>
          <w:kern w:val="0"/>
        </w:rPr>
        <w:t>。</w:t>
      </w:r>
    </w:p>
    <w:p>
      <w:pPr>
        <w:pStyle w:val="4"/>
        <w:rPr>
          <w:rFonts w:ascii="仿宋" w:hAnsi="仿宋" w:eastAsia="仿宋"/>
        </w:rPr>
      </w:pPr>
      <w:bookmarkStart w:id="292" w:name="_Toc16790"/>
      <w:bookmarkStart w:id="293" w:name="_Toc75966157"/>
      <w:bookmarkStart w:id="294" w:name="_Toc9365"/>
      <w:r>
        <w:rPr>
          <w:rFonts w:hint="eastAsia" w:ascii="仿宋" w:hAnsi="仿宋" w:eastAsia="仿宋"/>
        </w:rPr>
        <w:t>评审方法</w:t>
      </w:r>
      <w:bookmarkEnd w:id="292"/>
    </w:p>
    <w:p>
      <w:pPr>
        <w:pStyle w:val="5"/>
      </w:pPr>
      <w:bookmarkStart w:id="295" w:name="_Toc87641234"/>
      <w:bookmarkStart w:id="296" w:name="_Toc88748296"/>
      <w:bookmarkStart w:id="297" w:name="_Toc91071154"/>
      <w:r>
        <w:rPr>
          <w:rFonts w:hint="eastAsia"/>
        </w:rPr>
        <w:t>评审方法</w:t>
      </w:r>
      <w:bookmarkEnd w:id="295"/>
      <w:bookmarkEnd w:id="296"/>
      <w:bookmarkEnd w:id="297"/>
    </w:p>
    <w:p>
      <w:pPr>
        <w:pStyle w:val="6"/>
      </w:pPr>
      <w:r>
        <w:rPr>
          <w:rFonts w:hint="eastAsia"/>
        </w:rPr>
        <w:t>经磋商确定最终采购需求和提交最后报价的供应商后，由磋商小组采用综合评分法对提交最后报价的供应商的响应文件和最后报价进行综合评分。</w:t>
      </w:r>
    </w:p>
    <w:p>
      <w:pPr>
        <w:pStyle w:val="6"/>
      </w:pPr>
      <w:r>
        <w:rPr>
          <w:rFonts w:hint="eastAsia"/>
        </w:rPr>
        <w:t>综合评分法，是指响应文件满足磋商文件全部实质性要求且按评审因素的量化指标评审得分最高的供应商为成交候选供应商的评审方法。</w:t>
      </w:r>
    </w:p>
    <w:p>
      <w:pPr>
        <w:pStyle w:val="6"/>
      </w:pPr>
      <w:r>
        <w:t>已提交响应文件的供应商，在提交最后报价之前，可以根据磋商情况退出磋商。</w:t>
      </w:r>
    </w:p>
    <w:p>
      <w:pPr>
        <w:pStyle w:val="6"/>
      </w:pPr>
      <w:r>
        <w:t>除资格性检查认定错误、分值汇总计算错误、分项评分超出评分标准范围、客观分评分不一致、经磋商小组一致认定评分畸高、畸低的情形外，采购人不得以任何理由组织重新评审。采购人发现磋商小组未按照磋商文件规定的评审标准进行评审的，应当重新开展采购活动。</w:t>
      </w:r>
    </w:p>
    <w:p>
      <w:pPr>
        <w:pStyle w:val="6"/>
      </w:pPr>
      <w: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ind w:firstLine="480"/>
        <w:rPr>
          <w:rFonts w:cs="宋体"/>
          <w:snapToGrid w:val="0"/>
          <w:kern w:val="0"/>
        </w:rPr>
      </w:pPr>
      <w:r>
        <w:rPr>
          <w:rFonts w:hint="eastAsia" w:cs="宋体"/>
          <w:snapToGrid w:val="0"/>
          <w:kern w:val="0"/>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r>
        <w:rPr>
          <w:rFonts w:hint="eastAsia"/>
          <w:b/>
        </w:rPr>
        <w:t>（实质性要求）</w:t>
      </w:r>
    </w:p>
    <w:p>
      <w:pPr>
        <w:pStyle w:val="6"/>
      </w:pPr>
      <w:bookmarkStart w:id="298" w:name="_Toc504045233"/>
      <w:r>
        <w:rPr>
          <w:rFonts w:hint="eastAsia"/>
        </w:rPr>
        <w:t>本磋商文件有下列情形之一的，磋商小组应当停止评审：</w:t>
      </w:r>
      <w:bookmarkEnd w:id="298"/>
    </w:p>
    <w:p>
      <w:pPr>
        <w:ind w:firstLine="480"/>
      </w:pPr>
      <w:bookmarkStart w:id="299" w:name="_Toc504045234"/>
      <w:r>
        <w:rPr>
          <w:rFonts w:hint="eastAsia"/>
        </w:rPr>
        <w:t>（1）磋商文件的规定存在歧义、重大缺陷的；</w:t>
      </w:r>
      <w:bookmarkEnd w:id="299"/>
    </w:p>
    <w:p>
      <w:pPr>
        <w:ind w:right="240" w:firstLine="480"/>
      </w:pPr>
      <w:bookmarkStart w:id="300" w:name="_Toc504045235"/>
      <w:r>
        <w:rPr>
          <w:rFonts w:hint="eastAsia"/>
        </w:rPr>
        <w:t>（2）磋商文件明显以不合理条件对供应商实行差别待遇或者歧视待遇的；</w:t>
      </w:r>
      <w:bookmarkEnd w:id="300"/>
    </w:p>
    <w:p>
      <w:pPr>
        <w:ind w:right="240" w:firstLine="480"/>
      </w:pPr>
      <w:bookmarkStart w:id="301" w:name="_Toc504045236"/>
      <w:r>
        <w:rPr>
          <w:rFonts w:hint="eastAsia"/>
        </w:rPr>
        <w:t>（3）采购项目属于国家规定的优先、强制采购范围，但是磋商文件未依法体现优先、强制采购相关规定的；</w:t>
      </w:r>
      <w:bookmarkEnd w:id="301"/>
    </w:p>
    <w:p>
      <w:pPr>
        <w:ind w:right="240" w:firstLine="480"/>
      </w:pPr>
      <w:bookmarkStart w:id="302" w:name="_Toc504045239"/>
      <w:r>
        <w:rPr>
          <w:rFonts w:hint="eastAsia"/>
        </w:rPr>
        <w:t>（</w:t>
      </w:r>
      <w:r>
        <w:t>4</w:t>
      </w:r>
      <w:r>
        <w:rPr>
          <w:rFonts w:hint="eastAsia"/>
        </w:rPr>
        <w:t>）磋商文件载明的成交原则不合法的；</w:t>
      </w:r>
      <w:bookmarkEnd w:id="302"/>
    </w:p>
    <w:p>
      <w:pPr>
        <w:ind w:right="240" w:firstLine="480"/>
      </w:pPr>
      <w:bookmarkStart w:id="303" w:name="_Toc504045240"/>
      <w:r>
        <w:rPr>
          <w:rFonts w:hint="eastAsia"/>
        </w:rPr>
        <w:t>（</w:t>
      </w:r>
      <w:r>
        <w:t>5</w:t>
      </w:r>
      <w:r>
        <w:rPr>
          <w:rFonts w:hint="eastAsia"/>
        </w:rPr>
        <w:t>）磋商文件有违反国家其他有关强制性规定的情形。</w:t>
      </w:r>
      <w:bookmarkEnd w:id="303"/>
    </w:p>
    <w:p>
      <w:pPr>
        <w:pStyle w:val="6"/>
      </w:pPr>
      <w:r>
        <w:rPr>
          <w:rFonts w:hint="eastAsia"/>
        </w:rPr>
        <w:t>有下列情形之一的，不得现场修改评审结果：</w:t>
      </w:r>
    </w:p>
    <w:p>
      <w:pPr>
        <w:ind w:firstLine="480"/>
      </w:pPr>
      <w:r>
        <w:rPr>
          <w:rFonts w:hint="eastAsia"/>
        </w:rPr>
        <w:t>（1）磋商小组已经出具磋商报告并且离开评审现场的；</w:t>
      </w:r>
    </w:p>
    <w:p>
      <w:pPr>
        <w:ind w:firstLine="480"/>
      </w:pPr>
      <w:r>
        <w:rPr>
          <w:rFonts w:hint="eastAsia"/>
        </w:rPr>
        <w:t>（2）采购组织单位现场复核时，复核工作人员数量不足的；</w:t>
      </w:r>
    </w:p>
    <w:p>
      <w:pPr>
        <w:ind w:right="240" w:firstLine="480"/>
      </w:pPr>
      <w:r>
        <w:rPr>
          <w:rFonts w:hint="eastAsia"/>
        </w:rPr>
        <w:t>（3）采购组织单位现场复核时，没有采购监督人员现场监督的；</w:t>
      </w:r>
    </w:p>
    <w:p>
      <w:pPr>
        <w:ind w:right="240" w:firstLine="480"/>
      </w:pPr>
      <w:r>
        <w:rPr>
          <w:rFonts w:hint="eastAsia"/>
        </w:rPr>
        <w:t>（4）采购组织单位现场复核内容超出规定范围的；</w:t>
      </w:r>
    </w:p>
    <w:p>
      <w:pPr>
        <w:ind w:right="240" w:firstLine="480"/>
      </w:pPr>
      <w:r>
        <w:rPr>
          <w:rFonts w:hint="eastAsia"/>
        </w:rPr>
        <w:t>（5）采购组织单位未提供书面建议的。</w:t>
      </w:r>
    </w:p>
    <w:p>
      <w:pPr>
        <w:pStyle w:val="4"/>
        <w:rPr>
          <w:rFonts w:ascii="仿宋" w:hAnsi="仿宋" w:eastAsia="仿宋"/>
        </w:rPr>
      </w:pPr>
      <w:bookmarkStart w:id="304" w:name="_Toc5112"/>
      <w:r>
        <w:rPr>
          <w:rFonts w:hint="eastAsia" w:ascii="仿宋" w:hAnsi="仿宋" w:eastAsia="仿宋"/>
        </w:rPr>
        <w:t>评审标准</w:t>
      </w:r>
      <w:bookmarkEnd w:id="293"/>
      <w:bookmarkEnd w:id="304"/>
    </w:p>
    <w:p>
      <w:pPr>
        <w:pStyle w:val="5"/>
      </w:pPr>
      <w:bookmarkStart w:id="305" w:name="_Toc87641236"/>
      <w:bookmarkStart w:id="306" w:name="_Toc91071156"/>
      <w:bookmarkStart w:id="307" w:name="_Toc88748298"/>
      <w:r>
        <w:rPr>
          <w:rFonts w:hint="eastAsia"/>
        </w:rPr>
        <w:t>评审标准</w:t>
      </w:r>
      <w:bookmarkEnd w:id="305"/>
      <w:bookmarkEnd w:id="306"/>
      <w:bookmarkEnd w:id="307"/>
    </w:p>
    <w:p>
      <w:pPr>
        <w:pStyle w:val="6"/>
      </w:pPr>
      <w:r>
        <w:t>综合评分法评审标准中的分值设置应当与评审因素的量化指标相对应。磋商文件中没有规定的评审标准不得作为评审依据。</w:t>
      </w:r>
    </w:p>
    <w:p>
      <w:pPr>
        <w:pStyle w:val="6"/>
      </w:pPr>
      <w:r>
        <w:rPr>
          <w:rFonts w:hint="eastAsia"/>
        </w:rPr>
        <w:t>评审时，磋商小组各成员应当独立对每个有效响应的文件进行评价、打分，然后汇总每个供应商每项评分因素的得分。</w:t>
      </w:r>
    </w:p>
    <w:p>
      <w:pPr>
        <w:pStyle w:val="6"/>
      </w:pPr>
      <w:r>
        <w:rPr>
          <w:rFonts w:hint="eastAsia"/>
        </w:rPr>
        <w:t>综合评分明细表</w:t>
      </w:r>
    </w:p>
    <w:p>
      <w:pPr>
        <w:ind w:firstLine="480"/>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536"/>
        <w:gridCol w:w="843"/>
        <w:gridCol w:w="3966"/>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ind w:firstLine="0" w:firstLineChars="0"/>
            </w:pPr>
            <w:r>
              <w:rPr>
                <w:rFonts w:hint="eastAsia"/>
                <w:b/>
              </w:rPr>
              <w:t>序号</w:t>
            </w:r>
          </w:p>
        </w:tc>
        <w:tc>
          <w:tcPr>
            <w:tcW w:w="1536" w:type="dxa"/>
            <w:vAlign w:val="center"/>
          </w:tcPr>
          <w:p>
            <w:pPr>
              <w:ind w:firstLine="0" w:firstLineChars="0"/>
            </w:pPr>
            <w:r>
              <w:rPr>
                <w:rFonts w:hint="eastAsia"/>
                <w:b/>
              </w:rPr>
              <w:t>评分项目</w:t>
            </w:r>
          </w:p>
        </w:tc>
        <w:tc>
          <w:tcPr>
            <w:tcW w:w="843" w:type="dxa"/>
            <w:vAlign w:val="center"/>
          </w:tcPr>
          <w:p>
            <w:pPr>
              <w:ind w:firstLine="0" w:firstLineChars="0"/>
            </w:pPr>
            <w:r>
              <w:rPr>
                <w:rFonts w:hint="eastAsia"/>
                <w:b/>
              </w:rPr>
              <w:t>分值</w:t>
            </w:r>
          </w:p>
        </w:tc>
        <w:tc>
          <w:tcPr>
            <w:tcW w:w="3966" w:type="dxa"/>
          </w:tcPr>
          <w:p>
            <w:pPr>
              <w:ind w:firstLine="482"/>
              <w:jc w:val="center"/>
            </w:pPr>
            <w:r>
              <w:rPr>
                <w:rFonts w:hint="eastAsia"/>
                <w:b/>
              </w:rPr>
              <w:t>评分标准</w:t>
            </w:r>
          </w:p>
        </w:tc>
        <w:tc>
          <w:tcPr>
            <w:tcW w:w="1683" w:type="dxa"/>
          </w:tcPr>
          <w:p>
            <w:pPr>
              <w:ind w:firstLine="482"/>
              <w:jc w:val="cente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pPr>
              <w:ind w:firstLine="0" w:firstLineChars="0"/>
              <w:jc w:val="center"/>
            </w:pPr>
            <w:r>
              <w:rPr>
                <w:rFonts w:hint="eastAsia"/>
              </w:rPr>
              <w:t>1</w:t>
            </w:r>
          </w:p>
        </w:tc>
        <w:tc>
          <w:tcPr>
            <w:tcW w:w="1536" w:type="dxa"/>
            <w:vAlign w:val="center"/>
          </w:tcPr>
          <w:p>
            <w:pPr>
              <w:ind w:firstLine="0" w:firstLineChars="0"/>
              <w:jc w:val="center"/>
            </w:pPr>
            <w:r>
              <w:rPr>
                <w:rFonts w:hint="eastAsia"/>
              </w:rPr>
              <w:t>报 价</w:t>
            </w:r>
          </w:p>
          <w:p>
            <w:pPr>
              <w:ind w:firstLine="0" w:firstLineChars="0"/>
              <w:jc w:val="center"/>
            </w:pPr>
            <w:r>
              <w:rPr>
                <w:rFonts w:hint="eastAsia"/>
              </w:rPr>
              <w:t>（25%）</w:t>
            </w:r>
          </w:p>
        </w:tc>
        <w:tc>
          <w:tcPr>
            <w:tcW w:w="843" w:type="dxa"/>
            <w:vAlign w:val="center"/>
          </w:tcPr>
          <w:p>
            <w:pPr>
              <w:ind w:firstLine="0" w:firstLineChars="0"/>
            </w:pPr>
            <w:r>
              <w:rPr>
                <w:rFonts w:hint="eastAsia"/>
              </w:rPr>
              <w:t>25分</w:t>
            </w:r>
          </w:p>
        </w:tc>
        <w:tc>
          <w:tcPr>
            <w:tcW w:w="3966" w:type="dxa"/>
          </w:tcPr>
          <w:p>
            <w:pPr>
              <w:ind w:firstLine="480"/>
            </w:pPr>
            <w:r>
              <w:rPr>
                <w:rFonts w:hint="eastAsia"/>
              </w:rPr>
              <w:t>以本次有效的最低最终报价为基准价，磋商报价得分=(基准价／最终报价) ×25%×100。</w:t>
            </w:r>
          </w:p>
          <w:p>
            <w:pPr>
              <w:ind w:firstLine="480"/>
              <w:rPr>
                <w:rFonts w:cs="宋体"/>
              </w:rPr>
            </w:pPr>
            <w:r>
              <w:rPr>
                <w:rFonts w:hint="eastAsia"/>
              </w:rPr>
              <w:t>注：根据国家和四川省的有关规定，对小、微型、监狱企业或残疾人福利性单位承担工程的价格给予10%的价格扣除，用扣除后的价格参与评分；对失信行为供应商给予10%/次的报价累加加成，用加成后的价格参与评分，若加成后的报价超过采购预算/最高限价的，其响应文件按照无效处理。</w:t>
            </w:r>
          </w:p>
        </w:tc>
        <w:tc>
          <w:tcPr>
            <w:tcW w:w="1683" w:type="dxa"/>
          </w:tcPr>
          <w:p>
            <w:pPr>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816" w:type="dxa"/>
            <w:vMerge w:val="restart"/>
            <w:vAlign w:val="center"/>
          </w:tcPr>
          <w:p>
            <w:pPr>
              <w:ind w:firstLine="0" w:firstLineChars="0"/>
              <w:jc w:val="center"/>
            </w:pPr>
            <w:r>
              <w:rPr>
                <w:rFonts w:hint="eastAsia"/>
              </w:rPr>
              <w:t>2</w:t>
            </w:r>
          </w:p>
        </w:tc>
        <w:tc>
          <w:tcPr>
            <w:tcW w:w="1536" w:type="dxa"/>
            <w:vMerge w:val="restart"/>
            <w:vAlign w:val="center"/>
          </w:tcPr>
          <w:p>
            <w:pPr>
              <w:ind w:firstLine="0" w:firstLineChars="0"/>
            </w:pPr>
            <w:r>
              <w:rPr>
                <w:rFonts w:hint="eastAsia"/>
              </w:rPr>
              <w:t>功能及性能参数要求</w:t>
            </w:r>
          </w:p>
          <w:p>
            <w:pPr>
              <w:ind w:firstLine="0" w:firstLineChars="0"/>
            </w:pPr>
            <w:r>
              <w:rPr>
                <w:rFonts w:hint="eastAsia"/>
              </w:rPr>
              <w:t>（45%）</w:t>
            </w:r>
          </w:p>
          <w:p>
            <w:pPr>
              <w:ind w:firstLine="480"/>
              <w:jc w:val="center"/>
            </w:pPr>
          </w:p>
        </w:tc>
        <w:tc>
          <w:tcPr>
            <w:tcW w:w="843" w:type="dxa"/>
            <w:vAlign w:val="center"/>
          </w:tcPr>
          <w:p>
            <w:pPr>
              <w:ind w:firstLine="0" w:firstLineChars="0"/>
            </w:pPr>
            <w:r>
              <w:rPr>
                <w:rFonts w:hint="eastAsia"/>
              </w:rPr>
              <w:t>30分</w:t>
            </w:r>
          </w:p>
        </w:tc>
        <w:tc>
          <w:tcPr>
            <w:tcW w:w="3966" w:type="dxa"/>
          </w:tcPr>
          <w:p>
            <w:pPr>
              <w:ind w:firstLine="480"/>
            </w:pPr>
            <w:r>
              <w:rPr>
                <w:rFonts w:hint="eastAsia"/>
              </w:rPr>
              <w:t>完全满足基本功能及性能参数要求部分得30分，负偏离指标每个扣1分,★号为重要指标，负偏离每个扣2分，该项最多扣15分。</w:t>
            </w:r>
          </w:p>
        </w:tc>
        <w:tc>
          <w:tcPr>
            <w:tcW w:w="1683" w:type="dxa"/>
          </w:tcPr>
          <w:p>
            <w:pPr>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816" w:type="dxa"/>
            <w:vMerge w:val="continue"/>
            <w:vAlign w:val="center"/>
          </w:tcPr>
          <w:p>
            <w:pPr>
              <w:ind w:firstLine="480"/>
              <w:jc w:val="center"/>
            </w:pPr>
          </w:p>
        </w:tc>
        <w:tc>
          <w:tcPr>
            <w:tcW w:w="1536" w:type="dxa"/>
            <w:vMerge w:val="continue"/>
            <w:vAlign w:val="center"/>
          </w:tcPr>
          <w:p>
            <w:pPr>
              <w:ind w:firstLine="480"/>
              <w:jc w:val="center"/>
            </w:pPr>
          </w:p>
        </w:tc>
        <w:tc>
          <w:tcPr>
            <w:tcW w:w="843" w:type="dxa"/>
            <w:vAlign w:val="center"/>
          </w:tcPr>
          <w:p>
            <w:pPr>
              <w:ind w:firstLine="0" w:firstLineChars="0"/>
            </w:pPr>
            <w:r>
              <w:rPr>
                <w:rFonts w:hint="eastAsia"/>
              </w:rPr>
              <w:t>10分</w:t>
            </w:r>
          </w:p>
        </w:tc>
        <w:tc>
          <w:tcPr>
            <w:tcW w:w="3966" w:type="dxa"/>
          </w:tcPr>
          <w:p>
            <w:pPr>
              <w:ind w:firstLine="480"/>
            </w:pPr>
            <w:r>
              <w:rPr>
                <w:rFonts w:hint="eastAsia"/>
              </w:rPr>
              <w:t>根据投标人提供的方案（包括技术方案、实施方案、培训方案、</w:t>
            </w:r>
            <w:r>
              <w:rPr>
                <w:rFonts w:hint="eastAsia"/>
                <w:szCs w:val="24"/>
              </w:rPr>
              <w:t>售后服务、</w:t>
            </w:r>
            <w:r>
              <w:rPr>
                <w:rFonts w:hint="eastAsia"/>
              </w:rPr>
              <w:t>验收方案等内容）对本项目的响应程度进行评价，方案完整满足项目实际的得10分，每有一项不符合的扣2分，未提供方案不得分。</w:t>
            </w:r>
          </w:p>
        </w:tc>
        <w:tc>
          <w:tcPr>
            <w:tcW w:w="1683" w:type="dxa"/>
          </w:tcPr>
          <w:p>
            <w:pPr>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pPr>
              <w:ind w:firstLine="480"/>
              <w:jc w:val="center"/>
            </w:pPr>
          </w:p>
        </w:tc>
        <w:tc>
          <w:tcPr>
            <w:tcW w:w="1536" w:type="dxa"/>
            <w:vMerge w:val="continue"/>
            <w:vAlign w:val="center"/>
          </w:tcPr>
          <w:p>
            <w:pPr>
              <w:ind w:firstLine="480"/>
              <w:jc w:val="center"/>
            </w:pPr>
          </w:p>
        </w:tc>
        <w:tc>
          <w:tcPr>
            <w:tcW w:w="843" w:type="dxa"/>
            <w:vAlign w:val="center"/>
          </w:tcPr>
          <w:p>
            <w:pPr>
              <w:ind w:firstLine="0" w:firstLineChars="0"/>
            </w:pPr>
            <w:r>
              <w:rPr>
                <w:rFonts w:hint="eastAsia"/>
              </w:rPr>
              <w:t>2分</w:t>
            </w:r>
          </w:p>
        </w:tc>
        <w:tc>
          <w:tcPr>
            <w:tcW w:w="3966" w:type="dxa"/>
          </w:tcPr>
          <w:p>
            <w:pPr>
              <w:ind w:firstLine="480"/>
            </w:pPr>
            <w:r>
              <w:rPr>
                <w:rFonts w:hint="eastAsia"/>
              </w:rPr>
              <w:t>根据投标人提供的与四川省科技项目库数据对接方案（包括对接方式、数据交换元字典、科技厅项目对接数据分类、采用的标准、数据元的表示规范等内容）对本项目的响应程度进行评价，方案完整满足项目实际的得2分，每有一项不符合的扣0.5分，未提供方案不得分。</w:t>
            </w:r>
          </w:p>
        </w:tc>
        <w:tc>
          <w:tcPr>
            <w:tcW w:w="1683" w:type="dxa"/>
          </w:tcPr>
          <w:p>
            <w:pPr>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pPr>
              <w:ind w:firstLine="480"/>
              <w:jc w:val="center"/>
            </w:pPr>
          </w:p>
        </w:tc>
        <w:tc>
          <w:tcPr>
            <w:tcW w:w="1536" w:type="dxa"/>
            <w:vMerge w:val="continue"/>
            <w:vAlign w:val="center"/>
          </w:tcPr>
          <w:p>
            <w:pPr>
              <w:ind w:firstLine="480"/>
              <w:jc w:val="center"/>
            </w:pPr>
          </w:p>
        </w:tc>
        <w:tc>
          <w:tcPr>
            <w:tcW w:w="843" w:type="dxa"/>
            <w:vAlign w:val="center"/>
          </w:tcPr>
          <w:p>
            <w:pPr>
              <w:ind w:firstLine="0" w:firstLineChars="0"/>
            </w:pPr>
            <w:r>
              <w:rPr>
                <w:rFonts w:hint="eastAsia"/>
              </w:rPr>
              <w:t>3分</w:t>
            </w:r>
          </w:p>
        </w:tc>
        <w:tc>
          <w:tcPr>
            <w:tcW w:w="3966" w:type="dxa"/>
          </w:tcPr>
          <w:p>
            <w:pPr>
              <w:ind w:firstLine="480"/>
              <w:rPr>
                <w:rFonts w:eastAsia="仿宋_GB2312"/>
              </w:rPr>
            </w:pPr>
            <w:r>
              <w:rPr>
                <w:rFonts w:hint="eastAsia"/>
              </w:rPr>
              <w:t>投标人提供</w:t>
            </w:r>
            <w:r>
              <w:rPr>
                <w:rFonts w:hint="eastAsia" w:ascii="仿宋_GB2312" w:hAnsi="仿宋_GB2312" w:eastAsia="仿宋_GB2312"/>
              </w:rPr>
              <w:t>内控信息化管理平台等保二级测评方案</w:t>
            </w:r>
            <w:r>
              <w:rPr>
                <w:rFonts w:hint="eastAsia"/>
              </w:rPr>
              <w:t>（等保安全整体保障框架、需求分析、安全措施选择、安全策略、 安全解决方案、安全服务、）对本项目的响应程度进行评价，方案完整满足项目实际的得3分，每有一项不符合的扣0.5分，未提供方案不得分。</w:t>
            </w:r>
          </w:p>
        </w:tc>
        <w:tc>
          <w:tcPr>
            <w:tcW w:w="1683" w:type="dxa"/>
          </w:tcPr>
          <w:p>
            <w:pPr>
              <w:ind w:firstLine="48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816" w:type="dxa"/>
            <w:vMerge w:val="restart"/>
            <w:vAlign w:val="center"/>
          </w:tcPr>
          <w:p>
            <w:pPr>
              <w:ind w:firstLine="0" w:firstLineChars="0"/>
              <w:jc w:val="center"/>
            </w:pPr>
            <w:r>
              <w:rPr>
                <w:rFonts w:hint="eastAsia"/>
              </w:rPr>
              <w:t>3</w:t>
            </w:r>
          </w:p>
          <w:p>
            <w:pPr>
              <w:ind w:firstLine="480"/>
              <w:jc w:val="center"/>
            </w:pPr>
          </w:p>
        </w:tc>
        <w:tc>
          <w:tcPr>
            <w:tcW w:w="1536" w:type="dxa"/>
            <w:vMerge w:val="restart"/>
            <w:vAlign w:val="center"/>
          </w:tcPr>
          <w:p>
            <w:pPr>
              <w:ind w:firstLine="0" w:firstLineChars="0"/>
              <w:jc w:val="center"/>
            </w:pPr>
            <w:r>
              <w:rPr>
                <w:rFonts w:hint="eastAsia"/>
              </w:rPr>
              <w:t>履约能力</w:t>
            </w:r>
          </w:p>
          <w:p>
            <w:pPr>
              <w:ind w:firstLine="0" w:firstLineChars="0"/>
              <w:jc w:val="center"/>
            </w:pPr>
            <w:r>
              <w:rPr>
                <w:rFonts w:hint="eastAsia"/>
              </w:rPr>
              <w:t>（2</w:t>
            </w:r>
            <w:r>
              <w:t>4</w:t>
            </w:r>
            <w:r>
              <w:rPr>
                <w:rFonts w:hint="eastAsia"/>
              </w:rPr>
              <w:t>%）</w:t>
            </w:r>
          </w:p>
          <w:p>
            <w:pPr>
              <w:ind w:firstLine="480"/>
              <w:jc w:val="center"/>
            </w:pPr>
          </w:p>
        </w:tc>
        <w:tc>
          <w:tcPr>
            <w:tcW w:w="843" w:type="dxa"/>
            <w:vAlign w:val="center"/>
          </w:tcPr>
          <w:p>
            <w:pPr>
              <w:ind w:firstLine="0" w:firstLineChars="0"/>
            </w:pPr>
            <w:r>
              <w:rPr>
                <w:rFonts w:hint="eastAsia"/>
              </w:rPr>
              <w:t>5分</w:t>
            </w:r>
          </w:p>
        </w:tc>
        <w:tc>
          <w:tcPr>
            <w:tcW w:w="3966" w:type="dxa"/>
          </w:tcPr>
          <w:p>
            <w:pPr>
              <w:ind w:firstLine="480"/>
              <w:jc w:val="left"/>
            </w:pPr>
            <w:r>
              <w:rPr>
                <w:rFonts w:hint="eastAsia"/>
              </w:rPr>
              <w:t>投标人自 2018 年以来承担过管理类相关软件开发项目的案例，每提供 1个得 0.5 分，最多得5分，不提供的不得分。</w:t>
            </w:r>
          </w:p>
        </w:tc>
        <w:tc>
          <w:tcPr>
            <w:tcW w:w="1683" w:type="dxa"/>
          </w:tcPr>
          <w:p>
            <w:pPr>
              <w:ind w:firstLine="0" w:firstLineChars="0"/>
            </w:pPr>
            <w:r>
              <w:rPr>
                <w:rFonts w:hint="eastAsia"/>
              </w:rPr>
              <w:t>提供合同复印件加盖投标单位鲜章。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816" w:type="dxa"/>
            <w:vMerge w:val="continue"/>
            <w:vAlign w:val="center"/>
          </w:tcPr>
          <w:p>
            <w:pPr>
              <w:ind w:firstLine="480"/>
              <w:jc w:val="center"/>
            </w:pPr>
          </w:p>
        </w:tc>
        <w:tc>
          <w:tcPr>
            <w:tcW w:w="1536" w:type="dxa"/>
            <w:vMerge w:val="continue"/>
            <w:vAlign w:val="center"/>
          </w:tcPr>
          <w:p>
            <w:pPr>
              <w:ind w:firstLine="480"/>
              <w:jc w:val="center"/>
            </w:pPr>
          </w:p>
        </w:tc>
        <w:tc>
          <w:tcPr>
            <w:tcW w:w="843" w:type="dxa"/>
            <w:vAlign w:val="center"/>
          </w:tcPr>
          <w:p>
            <w:pPr>
              <w:ind w:firstLine="0" w:firstLineChars="0"/>
              <w:jc w:val="center"/>
            </w:pPr>
            <w:r>
              <w:rPr>
                <w:rFonts w:hint="eastAsia"/>
              </w:rPr>
              <w:t>10分</w:t>
            </w:r>
          </w:p>
        </w:tc>
        <w:tc>
          <w:tcPr>
            <w:tcW w:w="3966" w:type="dxa"/>
          </w:tcPr>
          <w:p>
            <w:pPr>
              <w:ind w:firstLine="480"/>
              <w:rPr>
                <w:szCs w:val="24"/>
              </w:rPr>
            </w:pPr>
            <w:r>
              <w:rPr>
                <w:rFonts w:hint="eastAsia"/>
              </w:rPr>
              <w:t>投标人参与本项目组成员具有财会相关专业副高及以上职称或</w:t>
            </w:r>
            <w:r>
              <w:rPr>
                <w:rFonts w:hint="eastAsia"/>
                <w:szCs w:val="24"/>
              </w:rPr>
              <w:t>注册会计师证书的人员，每提供一个得1分，最多得3分；</w:t>
            </w:r>
          </w:p>
          <w:p>
            <w:pPr>
              <w:ind w:firstLine="480"/>
            </w:pPr>
            <w:r>
              <w:rPr>
                <w:rFonts w:hint="eastAsia"/>
              </w:rPr>
              <w:t>投标单位参与本项目组成员具有电子信息相关专业副高及以上职称或高级软件工程师</w:t>
            </w:r>
            <w:r>
              <w:rPr>
                <w:rFonts w:hint="eastAsia"/>
                <w:szCs w:val="24"/>
              </w:rPr>
              <w:t>证书的人员，每提供一个得1分，最多得7分</w:t>
            </w:r>
            <w:r>
              <w:rPr>
                <w:rFonts w:hint="eastAsia"/>
              </w:rPr>
              <w:t>。</w:t>
            </w:r>
          </w:p>
        </w:tc>
        <w:tc>
          <w:tcPr>
            <w:tcW w:w="1683" w:type="dxa"/>
          </w:tcPr>
          <w:p>
            <w:pPr>
              <w:ind w:firstLine="0" w:firstLineChars="0"/>
            </w:pPr>
            <w:r>
              <w:rPr>
                <w:rFonts w:hint="eastAsia"/>
              </w:rPr>
              <w:t>提供相关证书复印件加盖投标单位鲜章和社保证明。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816" w:type="dxa"/>
            <w:vMerge w:val="continue"/>
            <w:vAlign w:val="center"/>
          </w:tcPr>
          <w:p>
            <w:pPr>
              <w:ind w:firstLine="480"/>
              <w:jc w:val="center"/>
            </w:pPr>
          </w:p>
        </w:tc>
        <w:tc>
          <w:tcPr>
            <w:tcW w:w="1536" w:type="dxa"/>
            <w:vMerge w:val="continue"/>
            <w:vAlign w:val="center"/>
          </w:tcPr>
          <w:p>
            <w:pPr>
              <w:ind w:firstLine="480"/>
              <w:jc w:val="center"/>
            </w:pPr>
          </w:p>
        </w:tc>
        <w:tc>
          <w:tcPr>
            <w:tcW w:w="843" w:type="dxa"/>
            <w:vAlign w:val="center"/>
          </w:tcPr>
          <w:p>
            <w:pPr>
              <w:ind w:firstLine="0" w:firstLineChars="0"/>
              <w:jc w:val="center"/>
            </w:pPr>
            <w:r>
              <w:rPr>
                <w:rFonts w:hint="eastAsia"/>
              </w:rPr>
              <w:t>5分</w:t>
            </w:r>
          </w:p>
        </w:tc>
        <w:tc>
          <w:tcPr>
            <w:tcW w:w="3966" w:type="dxa"/>
          </w:tcPr>
          <w:p>
            <w:pPr>
              <w:ind w:firstLine="480"/>
              <w:jc w:val="left"/>
            </w:pPr>
            <w:r>
              <w:rPr>
                <w:rFonts w:hint="eastAsia"/>
              </w:rPr>
              <w:t>投标人取得与本项目相关软件著作权证书的，每个得0.5分，最高得5分，不提供的不得分。</w:t>
            </w:r>
          </w:p>
        </w:tc>
        <w:tc>
          <w:tcPr>
            <w:tcW w:w="1683" w:type="dxa"/>
          </w:tcPr>
          <w:p>
            <w:pPr>
              <w:ind w:firstLine="0" w:firstLineChars="0"/>
            </w:pPr>
            <w:r>
              <w:rPr>
                <w:rFonts w:hint="eastAsia"/>
              </w:rPr>
              <w:t>提供著作权证书复印件加盖投标单位鲜章。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816" w:type="dxa"/>
            <w:vMerge w:val="continue"/>
            <w:vAlign w:val="center"/>
          </w:tcPr>
          <w:p>
            <w:pPr>
              <w:ind w:firstLine="480"/>
              <w:jc w:val="center"/>
            </w:pPr>
          </w:p>
        </w:tc>
        <w:tc>
          <w:tcPr>
            <w:tcW w:w="1536" w:type="dxa"/>
            <w:vMerge w:val="continue"/>
            <w:vAlign w:val="center"/>
          </w:tcPr>
          <w:p>
            <w:pPr>
              <w:ind w:firstLine="480"/>
              <w:jc w:val="center"/>
            </w:pPr>
          </w:p>
        </w:tc>
        <w:tc>
          <w:tcPr>
            <w:tcW w:w="843" w:type="dxa"/>
            <w:vAlign w:val="center"/>
          </w:tcPr>
          <w:p>
            <w:pPr>
              <w:ind w:firstLine="0" w:firstLineChars="0"/>
              <w:jc w:val="center"/>
            </w:pPr>
            <w:r>
              <w:rPr>
                <w:rFonts w:hint="eastAsia"/>
              </w:rPr>
              <w:t>4分</w:t>
            </w:r>
          </w:p>
        </w:tc>
        <w:tc>
          <w:tcPr>
            <w:tcW w:w="3966" w:type="dxa"/>
          </w:tcPr>
          <w:p>
            <w:pPr>
              <w:ind w:firstLine="480"/>
            </w:pPr>
            <w:r>
              <w:rPr>
                <w:rFonts w:hint="eastAsia"/>
              </w:rPr>
              <w:t>投标人要具有信息系统安全等级保护备案</w:t>
            </w:r>
            <w:r>
              <w:rPr>
                <w:rFonts w:hint="eastAsia" w:ascii="仿宋_GB2312" w:hAnsi="仿宋_GB2312" w:eastAsia="仿宋_GB2312"/>
              </w:rPr>
              <w:t>经验，</w:t>
            </w:r>
            <w:r>
              <w:rPr>
                <w:rFonts w:hint="eastAsia"/>
                <w:szCs w:val="24"/>
              </w:rPr>
              <w:t>每提供一个等保二级备案证明0.5分，每提供一个等保三级备案证明1分，最多得4分</w:t>
            </w:r>
            <w:r>
              <w:rPr>
                <w:rFonts w:hint="eastAsia"/>
              </w:rPr>
              <w:t>。</w:t>
            </w:r>
          </w:p>
        </w:tc>
        <w:tc>
          <w:tcPr>
            <w:tcW w:w="1683" w:type="dxa"/>
          </w:tcPr>
          <w:p>
            <w:pPr>
              <w:ind w:firstLine="0" w:firstLineChars="0"/>
            </w:pPr>
            <w:r>
              <w:rPr>
                <w:rFonts w:hint="eastAsia"/>
              </w:rPr>
              <w:t>提供备案证明复印件加盖投标单位鲜章。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16" w:type="dxa"/>
            <w:vMerge w:val="restart"/>
            <w:vAlign w:val="center"/>
          </w:tcPr>
          <w:p>
            <w:pPr>
              <w:ind w:firstLine="0" w:firstLineChars="0"/>
              <w:jc w:val="center"/>
            </w:pPr>
            <w:r>
              <w:rPr>
                <w:rFonts w:hint="eastAsia"/>
              </w:rPr>
              <w:t>4</w:t>
            </w:r>
          </w:p>
        </w:tc>
        <w:tc>
          <w:tcPr>
            <w:tcW w:w="1536" w:type="dxa"/>
            <w:vMerge w:val="restart"/>
            <w:vAlign w:val="center"/>
          </w:tcPr>
          <w:p>
            <w:pPr>
              <w:ind w:firstLine="0" w:firstLineChars="0"/>
              <w:jc w:val="center"/>
            </w:pPr>
            <w:r>
              <w:rPr>
                <w:rFonts w:hint="eastAsia"/>
              </w:rPr>
              <w:t>售后服务</w:t>
            </w:r>
          </w:p>
          <w:p>
            <w:pPr>
              <w:ind w:firstLine="0" w:firstLineChars="0"/>
              <w:jc w:val="center"/>
            </w:pPr>
            <w:r>
              <w:rPr>
                <w:rFonts w:hint="eastAsia"/>
              </w:rPr>
              <w:t>（6%）</w:t>
            </w:r>
          </w:p>
          <w:p>
            <w:pPr>
              <w:ind w:firstLine="480"/>
              <w:jc w:val="center"/>
            </w:pPr>
          </w:p>
        </w:tc>
        <w:tc>
          <w:tcPr>
            <w:tcW w:w="843" w:type="dxa"/>
            <w:vAlign w:val="center"/>
          </w:tcPr>
          <w:p>
            <w:pPr>
              <w:ind w:firstLine="0" w:firstLineChars="0"/>
              <w:jc w:val="center"/>
            </w:pPr>
            <w:r>
              <w:rPr>
                <w:rFonts w:hint="eastAsia"/>
              </w:rPr>
              <w:t>3分</w:t>
            </w:r>
          </w:p>
        </w:tc>
        <w:tc>
          <w:tcPr>
            <w:tcW w:w="3966" w:type="dxa"/>
            <w:vAlign w:val="center"/>
          </w:tcPr>
          <w:p>
            <w:pPr>
              <w:pStyle w:val="51"/>
              <w:spacing w:line="500" w:lineRule="exact"/>
              <w:ind w:firstLine="480" w:firstLineChars="200"/>
              <w:jc w:val="both"/>
              <w:rPr>
                <w:szCs w:val="24"/>
              </w:rPr>
            </w:pPr>
            <w:r>
              <w:rPr>
                <w:rFonts w:hint="eastAsia"/>
              </w:rPr>
              <w:t>投标人可提供3年原厂售后服务承诺函，得 3 分，不提供的不得分。</w:t>
            </w:r>
          </w:p>
        </w:tc>
        <w:tc>
          <w:tcPr>
            <w:tcW w:w="1683" w:type="dxa"/>
          </w:tcPr>
          <w:p>
            <w:pPr>
              <w:ind w:firstLine="0" w:firstLineChars="0"/>
            </w:pPr>
            <w:r>
              <w:rPr>
                <w:rFonts w:hint="eastAsia"/>
              </w:rPr>
              <w:t>提供原厂售后服务承诺函原件。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816" w:type="dxa"/>
            <w:vMerge w:val="continue"/>
            <w:vAlign w:val="center"/>
          </w:tcPr>
          <w:p>
            <w:pPr>
              <w:ind w:firstLine="480"/>
              <w:jc w:val="center"/>
            </w:pPr>
          </w:p>
        </w:tc>
        <w:tc>
          <w:tcPr>
            <w:tcW w:w="1536" w:type="dxa"/>
            <w:vMerge w:val="continue"/>
            <w:vAlign w:val="center"/>
          </w:tcPr>
          <w:p>
            <w:pPr>
              <w:ind w:firstLine="480"/>
              <w:jc w:val="center"/>
            </w:pPr>
          </w:p>
        </w:tc>
        <w:tc>
          <w:tcPr>
            <w:tcW w:w="843" w:type="dxa"/>
            <w:vAlign w:val="center"/>
          </w:tcPr>
          <w:p>
            <w:pPr>
              <w:ind w:firstLine="0" w:firstLineChars="0"/>
              <w:jc w:val="center"/>
            </w:pPr>
            <w:r>
              <w:rPr>
                <w:rFonts w:hint="eastAsia"/>
              </w:rPr>
              <w:t>3分</w:t>
            </w:r>
          </w:p>
        </w:tc>
        <w:tc>
          <w:tcPr>
            <w:tcW w:w="3966" w:type="dxa"/>
            <w:vAlign w:val="center"/>
          </w:tcPr>
          <w:p>
            <w:pPr>
              <w:pStyle w:val="51"/>
              <w:spacing w:line="500" w:lineRule="exact"/>
              <w:ind w:firstLine="480" w:firstLineChars="200"/>
              <w:jc w:val="both"/>
              <w:rPr>
                <w:szCs w:val="24"/>
              </w:rPr>
            </w:pPr>
            <w:r>
              <w:rPr>
                <w:rFonts w:hint="eastAsia"/>
              </w:rPr>
              <w:t>在项目开发和运维期内提供驻场开发人员和维护人员1名及以上人员得3分，其余不得分。</w:t>
            </w:r>
          </w:p>
        </w:tc>
        <w:tc>
          <w:tcPr>
            <w:tcW w:w="1683" w:type="dxa"/>
          </w:tcPr>
          <w:p>
            <w:pPr>
              <w:ind w:firstLine="480"/>
            </w:pPr>
          </w:p>
        </w:tc>
      </w:tr>
    </w:tbl>
    <w:p>
      <w:pPr>
        <w:ind w:firstLine="0" w:firstLineChars="0"/>
      </w:pPr>
    </w:p>
    <w:p>
      <w:pPr>
        <w:pStyle w:val="2"/>
        <w:ind w:firstLine="480"/>
      </w:pPr>
    </w:p>
    <w:bookmarkEnd w:id="294"/>
    <w:p>
      <w:pPr>
        <w:pStyle w:val="4"/>
        <w:rPr>
          <w:rFonts w:ascii="仿宋" w:hAnsi="仿宋" w:eastAsia="仿宋"/>
        </w:rPr>
      </w:pPr>
      <w:bookmarkStart w:id="308" w:name="_Toc13843"/>
      <w:bookmarkStart w:id="309" w:name="_Toc75966158"/>
      <w:bookmarkStart w:id="310" w:name="_Toc5174"/>
      <w:r>
        <w:rPr>
          <w:rFonts w:hint="eastAsia" w:ascii="仿宋" w:hAnsi="仿宋" w:eastAsia="仿宋"/>
        </w:rPr>
        <w:t>评审纪律</w:t>
      </w:r>
      <w:bookmarkEnd w:id="308"/>
      <w:bookmarkEnd w:id="309"/>
      <w:bookmarkEnd w:id="310"/>
    </w:p>
    <w:p>
      <w:pPr>
        <w:pStyle w:val="5"/>
      </w:pPr>
      <w:bookmarkStart w:id="311" w:name="_Toc87641238"/>
      <w:bookmarkStart w:id="312" w:name="_Toc91071158"/>
      <w:bookmarkStart w:id="313" w:name="_Toc88748300"/>
      <w:bookmarkStart w:id="314" w:name="_Toc75966159"/>
      <w:r>
        <w:rPr>
          <w:rFonts w:hint="eastAsia"/>
        </w:rPr>
        <w:t>磋商纪律</w:t>
      </w:r>
      <w:bookmarkEnd w:id="311"/>
      <w:bookmarkEnd w:id="312"/>
      <w:bookmarkEnd w:id="313"/>
    </w:p>
    <w:p>
      <w:pPr>
        <w:pStyle w:val="6"/>
      </w:pPr>
      <w:r>
        <w:rPr>
          <w:rFonts w:hint="eastAsia"/>
        </w:rPr>
        <w:t>评审专家应当遵守评审工作纪律，不得泄露评审情况和评审中获悉的商业秘密。磋商小组在评审过程中发现供应商有行贿、提供虚假材料或者串通等违法行为的，应当及时向采购人报告。</w:t>
      </w:r>
    </w:p>
    <w:p>
      <w:pPr>
        <w:pStyle w:val="6"/>
      </w:pPr>
      <w:r>
        <w:rPr>
          <w:rFonts w:hint="eastAsia"/>
        </w:rPr>
        <w:t>评审专家在评审过程中受到非法干涉的，应当及时向监察部门举报。</w:t>
      </w:r>
    </w:p>
    <w:p>
      <w:pPr>
        <w:pStyle w:val="6"/>
      </w:pPr>
      <w:r>
        <w:t>采购人不得向磋商小组中的评审专家作倾向性、误导性的解释或者说明。</w:t>
      </w:r>
    </w:p>
    <w:p>
      <w:pPr>
        <w:pStyle w:val="6"/>
      </w:pPr>
      <w:r>
        <w:rPr>
          <w:rFonts w:hint="eastAsia"/>
        </w:rPr>
        <w:t>磋商小组成员应当遵守下列工作纪律：</w:t>
      </w:r>
    </w:p>
    <w:p>
      <w:pPr>
        <w:ind w:firstLine="480"/>
      </w:pPr>
      <w:r>
        <w:rPr>
          <w:rFonts w:hint="eastAsia"/>
        </w:rPr>
        <w:t>（一）遵行磋商文件关于回避的规定。</w:t>
      </w:r>
    </w:p>
    <w:p>
      <w:pPr>
        <w:ind w:firstLine="480"/>
      </w:pPr>
      <w:r>
        <w:rPr>
          <w:rFonts w:hint="eastAsia"/>
        </w:rPr>
        <w:t>（二）评审前，应当将通讯工具或者相关电子设备交由采购组织单位统一保管。</w:t>
      </w:r>
    </w:p>
    <w:p>
      <w:pPr>
        <w:ind w:firstLine="480"/>
      </w:pPr>
      <w:r>
        <w:rPr>
          <w:rFonts w:hint="eastAsia"/>
        </w:rPr>
        <w:t>（三）评审过程中，不得与外界联系，因发生不可预见情况，确实需要与外界联系的，应当在监督人员监督之下办理。</w:t>
      </w:r>
    </w:p>
    <w:p>
      <w:pPr>
        <w:ind w:firstLine="480"/>
      </w:pPr>
      <w:r>
        <w:rPr>
          <w:rFonts w:hint="eastAsia"/>
        </w:rPr>
        <w:t>（四）评审过程中，不得干预或者影响正常评审工作，不得发表倾向性、引导性意见，不得修改或细化磋商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pPr>
        <w:ind w:firstLine="480"/>
      </w:pPr>
      <w:r>
        <w:rPr>
          <w:rFonts w:hint="eastAsia"/>
        </w:rPr>
        <w:t>（五）在评审过程中和评审结束后，不得记录、复制或带走任何评审资料，除因履行法律法规规定的义务外，不得向外界透露评审内容。</w:t>
      </w:r>
    </w:p>
    <w:p>
      <w:pPr>
        <w:ind w:right="240" w:firstLine="480"/>
      </w:pPr>
      <w:r>
        <w:rPr>
          <w:rFonts w:hint="eastAsia"/>
        </w:rPr>
        <w:t>（六）服从评审现场采购组织单位的现场秩序管理，接受评审现场监督人员的合法监督。</w:t>
      </w:r>
    </w:p>
    <w:p>
      <w:pPr>
        <w:ind w:firstLine="480"/>
      </w:pPr>
      <w:r>
        <w:rPr>
          <w:rFonts w:hint="eastAsia"/>
        </w:rPr>
        <w:t>（七）遵守有关廉洁自律规定，不得私下接触供应商，不得收受供应商及有关业务单位和个人的财物或好处，不得接受采购组织单位的请托。</w:t>
      </w:r>
    </w:p>
    <w:p>
      <w:pPr>
        <w:widowControl/>
        <w:spacing w:line="240" w:lineRule="auto"/>
        <w:ind w:firstLine="0" w:firstLineChars="0"/>
        <w:jc w:val="left"/>
      </w:pPr>
      <w:r>
        <w:br w:type="page"/>
      </w:r>
    </w:p>
    <w:p>
      <w:pPr>
        <w:pStyle w:val="3"/>
      </w:pPr>
      <w:bookmarkStart w:id="315" w:name="_Toc31149"/>
      <w:r>
        <w:rPr>
          <w:rFonts w:hint="eastAsia"/>
        </w:rPr>
        <w:t>采购合同（草案）</w:t>
      </w:r>
      <w:bookmarkEnd w:id="314"/>
      <w:bookmarkEnd w:id="315"/>
    </w:p>
    <w:p>
      <w:pPr>
        <w:ind w:firstLine="480"/>
        <w:rPr>
          <w:highlight w:val="yellow"/>
        </w:rPr>
      </w:pPr>
      <w:r>
        <w:t>合同编号：</w:t>
      </w:r>
    </w:p>
    <w:p>
      <w:pPr>
        <w:ind w:firstLine="480"/>
      </w:pPr>
      <w:r>
        <w:t>签订地点：</w:t>
      </w:r>
      <w:r>
        <w:rPr>
          <w:rFonts w:hint="eastAsia"/>
        </w:rPr>
        <w:t>XXXX。</w:t>
      </w:r>
    </w:p>
    <w:p>
      <w:pPr>
        <w:ind w:firstLine="480"/>
      </w:pPr>
      <w:r>
        <w:t>签订时间：</w:t>
      </w:r>
      <w:r>
        <w:rPr>
          <w:rFonts w:hint="eastAsia"/>
        </w:rPr>
        <w:t>XXXX</w:t>
      </w:r>
      <w:r>
        <w:t>年</w:t>
      </w:r>
      <w:r>
        <w:rPr>
          <w:rFonts w:hint="eastAsia"/>
        </w:rPr>
        <w:t>XX</w:t>
      </w:r>
      <w:r>
        <w:t>月</w:t>
      </w:r>
      <w:r>
        <w:rPr>
          <w:rFonts w:hint="eastAsia"/>
        </w:rPr>
        <w:t>XX</w:t>
      </w:r>
      <w:r>
        <w:t>日</w:t>
      </w:r>
      <w:r>
        <w:rPr>
          <w:rFonts w:hint="eastAsia"/>
        </w:rPr>
        <w:t>。</w:t>
      </w:r>
    </w:p>
    <w:p>
      <w:pPr>
        <w:ind w:firstLine="480"/>
      </w:pPr>
      <w:r>
        <w:rPr>
          <w:rFonts w:hint="eastAsia"/>
        </w:rPr>
        <w:t>采购人（</w:t>
      </w:r>
      <w:r>
        <w:t>甲方</w:t>
      </w:r>
      <w:r>
        <w:rPr>
          <w:rFonts w:hint="eastAsia"/>
        </w:rPr>
        <w:t>）</w:t>
      </w:r>
      <w:r>
        <w:t>：</w:t>
      </w:r>
      <w:r>
        <w:rPr>
          <w:u w:val="single"/>
        </w:rPr>
        <w:t xml:space="preserve"> </w:t>
      </w:r>
      <w:r>
        <w:rPr>
          <w:rFonts w:hint="eastAsia"/>
          <w:u w:val="single"/>
        </w:rPr>
        <w:t>四川省农村科技发展中心</w:t>
      </w:r>
      <w:r>
        <w:rPr>
          <w:u w:val="single"/>
        </w:rPr>
        <w:t xml:space="preserve"> </w:t>
      </w:r>
    </w:p>
    <w:p>
      <w:pPr>
        <w:ind w:firstLine="480"/>
        <w:rPr>
          <w:u w:val="single"/>
        </w:rPr>
      </w:pPr>
      <w:r>
        <w:rPr>
          <w:rFonts w:hint="eastAsia"/>
        </w:rPr>
        <w:t>供应商（乙</w:t>
      </w:r>
      <w:r>
        <w:t>方</w:t>
      </w:r>
      <w:r>
        <w:rPr>
          <w:rFonts w:hint="eastAsia"/>
        </w:rPr>
        <w:t>）</w:t>
      </w:r>
      <w:r>
        <w:t>：</w:t>
      </w:r>
      <w:r>
        <w:rPr>
          <w:u w:val="single"/>
        </w:rPr>
        <w:t xml:space="preserve">                              </w:t>
      </w:r>
    </w:p>
    <w:p>
      <w:pPr>
        <w:ind w:firstLine="480"/>
      </w:pPr>
      <w:r>
        <w:t>依据《中华人民共和国</w:t>
      </w:r>
      <w:r>
        <w:rPr>
          <w:rFonts w:hint="eastAsia"/>
        </w:rPr>
        <w:t>民法典</w:t>
      </w:r>
      <w:r>
        <w:t>》</w:t>
      </w:r>
      <w:r>
        <w:rPr>
          <w:rFonts w:hint="eastAsia"/>
        </w:rPr>
        <w:t>与项目行业有关的法律法规，以及</w:t>
      </w:r>
      <w:r>
        <w:rPr>
          <w:rFonts w:hint="eastAsia"/>
          <w:u w:val="single"/>
        </w:rPr>
        <w:t>四川省农村科技发展中心内控信息化管理平台建设项目</w:t>
      </w:r>
      <w:r>
        <w:t>的</w:t>
      </w:r>
      <w:r>
        <w:rPr>
          <w:rFonts w:hint="eastAsia"/>
        </w:rPr>
        <w:t>《磋商文件》</w:t>
      </w:r>
      <w:r>
        <w:t>，</w:t>
      </w:r>
      <w:r>
        <w:rPr>
          <w:rFonts w:hint="eastAsia"/>
        </w:rPr>
        <w:t>乙方的《响应文件》及《成交通知书》，甲、乙双方同意签订本合同。详细技术说明及其他有关合同项目的特定信息由合同附件予以说明，合同附件及本项目的《磋商文件》、《响应文件》、《成交通知书》等均为本合同的组成部分。</w:t>
      </w:r>
      <w:r>
        <w:t xml:space="preserve"> </w:t>
      </w:r>
    </w:p>
    <w:p>
      <w:pPr>
        <w:ind w:firstLine="0" w:firstLineChars="0"/>
        <w:jc w:val="left"/>
        <w:rPr>
          <w:b/>
        </w:rPr>
      </w:pPr>
      <w:bookmarkStart w:id="316" w:name="_Toc361325807"/>
      <w:bookmarkStart w:id="317" w:name="_Toc505261925"/>
      <w:bookmarkStart w:id="318" w:name="_Toc466391954"/>
      <w:bookmarkStart w:id="319" w:name="_Toc474502595"/>
      <w:bookmarkStart w:id="320" w:name="_Toc513469063"/>
      <w:bookmarkStart w:id="321" w:name="_Toc474327053"/>
      <w:r>
        <w:rPr>
          <w:rFonts w:hint="eastAsia"/>
          <w:b/>
        </w:rPr>
        <w:t>第一条  项目基本情况</w:t>
      </w:r>
      <w:bookmarkEnd w:id="316"/>
      <w:bookmarkEnd w:id="317"/>
      <w:bookmarkEnd w:id="318"/>
      <w:bookmarkEnd w:id="319"/>
      <w:bookmarkEnd w:id="320"/>
      <w:bookmarkEnd w:id="321"/>
    </w:p>
    <w:p>
      <w:pPr>
        <w:ind w:firstLine="960" w:firstLineChars="400"/>
        <w:jc w:val="left"/>
        <w:rPr>
          <w:b/>
        </w:rPr>
      </w:pPr>
      <w:r>
        <w:rPr>
          <w:rFonts w:hint="eastAsia"/>
        </w:rPr>
        <w:t>XXXX</w:t>
      </w:r>
    </w:p>
    <w:p>
      <w:pPr>
        <w:ind w:firstLine="0" w:firstLineChars="0"/>
        <w:jc w:val="left"/>
        <w:rPr>
          <w:b/>
        </w:rPr>
      </w:pPr>
      <w:bookmarkStart w:id="322" w:name="_Toc474327054"/>
      <w:bookmarkStart w:id="323" w:name="_Toc466391955"/>
      <w:bookmarkStart w:id="324" w:name="_Toc505261926"/>
      <w:bookmarkStart w:id="325" w:name="_Toc513469064"/>
      <w:bookmarkStart w:id="326" w:name="_Toc474502596"/>
      <w:bookmarkStart w:id="327" w:name="_Toc361325808"/>
      <w:r>
        <w:rPr>
          <w:rFonts w:hint="eastAsia"/>
          <w:b/>
        </w:rPr>
        <w:t>第二条  合同期限</w:t>
      </w:r>
      <w:bookmarkEnd w:id="322"/>
      <w:bookmarkEnd w:id="323"/>
      <w:bookmarkEnd w:id="324"/>
      <w:bookmarkEnd w:id="325"/>
      <w:bookmarkEnd w:id="326"/>
      <w:bookmarkEnd w:id="327"/>
    </w:p>
    <w:p>
      <w:pPr>
        <w:ind w:firstLine="480"/>
        <w:rPr>
          <w:u w:val="single"/>
        </w:rPr>
      </w:pPr>
      <w:bookmarkStart w:id="328" w:name="_Toc238984975"/>
      <w:bookmarkStart w:id="329" w:name="_Toc282696226"/>
      <w:bookmarkStart w:id="330" w:name="_Toc239233914"/>
      <w:bookmarkStart w:id="331" w:name="_Toc211911348"/>
      <w:bookmarkStart w:id="332" w:name="_Toc212019594"/>
      <w:bookmarkStart w:id="333" w:name="_Toc251768862"/>
      <w:bookmarkStart w:id="334" w:name="_Toc225654644"/>
      <w:bookmarkStart w:id="335" w:name="_Toc283019214"/>
      <w:bookmarkStart w:id="336" w:name="_Toc237145406"/>
      <w:bookmarkStart w:id="337" w:name="_Toc286993786"/>
      <w:bookmarkStart w:id="338" w:name="_Toc232492928"/>
      <w:bookmarkStart w:id="339" w:name="_Toc241833903"/>
      <w:bookmarkStart w:id="340" w:name="_Toc185395249"/>
      <w:bookmarkStart w:id="341" w:name="_Toc225670751"/>
      <w:bookmarkStart w:id="342" w:name="_Toc247334841"/>
      <w:bookmarkStart w:id="343" w:name="_Toc239568418"/>
      <w:bookmarkStart w:id="344" w:name="_Toc225244852"/>
      <w:bookmarkStart w:id="345" w:name="_Toc211854449"/>
      <w:r>
        <w:rPr>
          <w:rFonts w:hint="eastAsia"/>
        </w:rPr>
        <w:t>履约期限：</w:t>
      </w:r>
      <w:r>
        <w:rPr>
          <w:rFonts w:hint="eastAsia"/>
          <w:u w:val="single"/>
        </w:rPr>
        <w:t>{履约期限}</w:t>
      </w:r>
      <w:r>
        <w:rPr>
          <w:rFonts w:hint="eastAsia"/>
        </w:rPr>
        <w:t>。</w:t>
      </w:r>
    </w:p>
    <w:p>
      <w:pPr>
        <w:ind w:firstLine="480"/>
        <w:rPr>
          <w:u w:val="single"/>
        </w:rPr>
      </w:pPr>
      <w:r>
        <w:rPr>
          <w:rFonts w:hint="eastAsia"/>
        </w:rPr>
        <w:t>履约地点：</w:t>
      </w:r>
      <w:r>
        <w:rPr>
          <w:rFonts w:hint="eastAsia"/>
          <w:u w:val="single"/>
        </w:rPr>
        <w:t>{履约地点}</w:t>
      </w:r>
      <w:r>
        <w:rPr>
          <w:rFonts w:hint="eastAsia"/>
        </w:rPr>
        <w:t>。</w:t>
      </w:r>
    </w:p>
    <w:p>
      <w:pPr>
        <w:ind w:firstLine="0" w:firstLineChars="0"/>
        <w:jc w:val="left"/>
        <w:rPr>
          <w:b/>
        </w:rPr>
      </w:pPr>
      <w:bookmarkStart w:id="346" w:name="_Toc474327055"/>
      <w:bookmarkStart w:id="347" w:name="_Toc474502597"/>
      <w:bookmarkStart w:id="348" w:name="_Toc505261927"/>
      <w:bookmarkStart w:id="349" w:name="_Toc361325809"/>
      <w:bookmarkStart w:id="350" w:name="_Toc513469065"/>
      <w:bookmarkStart w:id="351" w:name="_Toc466391956"/>
      <w:r>
        <w:rPr>
          <w:rFonts w:hint="eastAsia"/>
          <w:b/>
        </w:rPr>
        <w:t>第三条  服务内容与质量标准</w:t>
      </w:r>
      <w:bookmarkEnd w:id="346"/>
      <w:bookmarkEnd w:id="347"/>
      <w:bookmarkEnd w:id="348"/>
      <w:bookmarkEnd w:id="349"/>
      <w:bookmarkEnd w:id="350"/>
      <w:bookmarkEnd w:id="351"/>
    </w:p>
    <w:p>
      <w:pPr>
        <w:ind w:firstLine="480"/>
      </w:pPr>
      <w:r>
        <w:rPr>
          <w:rFonts w:hint="eastAsia"/>
        </w:rPr>
        <w:t>1.XXXX；</w:t>
      </w:r>
    </w:p>
    <w:p>
      <w:pPr>
        <w:ind w:firstLine="480"/>
      </w:pPr>
      <w:r>
        <w:rPr>
          <w:rFonts w:hint="eastAsia"/>
        </w:rPr>
        <w:t>2.XXXX；</w:t>
      </w:r>
    </w:p>
    <w:p>
      <w:pPr>
        <w:ind w:firstLine="480"/>
      </w:pPr>
      <w:r>
        <w:rPr>
          <w:rFonts w:hint="eastAsia"/>
        </w:rPr>
        <w:t>3.XXXX．</w:t>
      </w:r>
    </w:p>
    <w:p>
      <w:pPr>
        <w:ind w:firstLine="0" w:firstLineChars="0"/>
        <w:jc w:val="left"/>
        <w:rPr>
          <w:b/>
        </w:rPr>
      </w:pPr>
      <w:bookmarkStart w:id="352" w:name="_Toc474327056"/>
      <w:bookmarkStart w:id="353" w:name="_Toc466391957"/>
      <w:bookmarkStart w:id="354" w:name="_Toc474502598"/>
      <w:bookmarkStart w:id="355" w:name="_Toc505261928"/>
      <w:bookmarkStart w:id="356" w:name="_Toc361325810"/>
      <w:bookmarkStart w:id="357" w:name="_Toc513469066"/>
      <w:r>
        <w:rPr>
          <w:rFonts w:hint="eastAsia"/>
          <w:b/>
        </w:rPr>
        <w:t>第四条  服务费用及支付方式</w:t>
      </w:r>
      <w:bookmarkEnd w:id="352"/>
      <w:bookmarkEnd w:id="353"/>
      <w:bookmarkEnd w:id="354"/>
      <w:bookmarkEnd w:id="355"/>
      <w:bookmarkEnd w:id="356"/>
      <w:bookmarkEnd w:id="357"/>
    </w:p>
    <w:p>
      <w:pPr>
        <w:ind w:firstLine="480"/>
      </w:pPr>
      <w:r>
        <w:rPr>
          <w:rFonts w:hint="eastAsia"/>
        </w:rPr>
        <w:t>1.合同总价为人民币大写：</w:t>
      </w:r>
      <w:r>
        <w:rPr>
          <w:rFonts w:hint="eastAsia"/>
          <w:u w:val="single"/>
        </w:rPr>
        <w:t xml:space="preserve">                </w:t>
      </w:r>
      <w:r>
        <w:rPr>
          <w:rFonts w:hint="eastAsia"/>
        </w:rPr>
        <w:t>元，即RMB￥</w:t>
      </w:r>
      <w:r>
        <w:rPr>
          <w:rFonts w:hint="eastAsia"/>
          <w:u w:val="single"/>
        </w:rPr>
        <w:t xml:space="preserve">        </w:t>
      </w:r>
      <w:r>
        <w:rPr>
          <w:rFonts w:hint="eastAsia"/>
        </w:rPr>
        <w:t>元；</w:t>
      </w:r>
    </w:p>
    <w:p>
      <w:pPr>
        <w:ind w:firstLine="480"/>
      </w:pPr>
      <w:r>
        <w:rPr>
          <w:rFonts w:hint="eastAsia"/>
        </w:rPr>
        <w:t>2.本项目服务费用由以下组成：XX万元；XX万元；XX万元。</w:t>
      </w:r>
    </w:p>
    <w:p>
      <w:pPr>
        <w:ind w:firstLine="480"/>
      </w:pPr>
      <w:r>
        <w:rPr>
          <w:rFonts w:hint="eastAsia"/>
        </w:rPr>
        <w:t>3.付款方式：</w:t>
      </w:r>
    </w:p>
    <w:p>
      <w:pPr>
        <w:ind w:firstLine="480"/>
      </w:pPr>
      <w:r>
        <w:rPr>
          <w:rFonts w:hint="eastAsia"/>
        </w:rPr>
        <w:t>4.资金</w:t>
      </w:r>
      <w:r>
        <w:t>支付时间：</w:t>
      </w:r>
      <w:r>
        <w:rPr>
          <w:rFonts w:hint="eastAsia"/>
        </w:rPr>
        <w:t>履约</w:t>
      </w:r>
      <w:r>
        <w:t>验收合格后，</w:t>
      </w:r>
      <w:r>
        <w:rPr>
          <w:rFonts w:hint="eastAsia"/>
        </w:rPr>
        <w:t>甲方应当自收到发票后30日内将资金支付到合同约定的乙方账户，不得以机构变动、人员更替、政策调整等为由延迟付款，不得将采购文件和合同中未规定的义务作为向乙方付款的条件。</w:t>
      </w:r>
    </w:p>
    <w:p>
      <w:pPr>
        <w:ind w:firstLine="480"/>
      </w:pPr>
      <w:r>
        <w:t>5.</w:t>
      </w:r>
      <w:r>
        <w:rPr>
          <w:rFonts w:hint="eastAsia"/>
        </w:rPr>
        <w:t>资金</w:t>
      </w:r>
      <w:r>
        <w:t>支付</w:t>
      </w:r>
      <w:r>
        <w:rPr>
          <w:rFonts w:hint="eastAsia"/>
        </w:rPr>
        <w:t>条件</w:t>
      </w:r>
      <w:r>
        <w:t>：</w:t>
      </w:r>
      <w:r>
        <w:rPr>
          <w:rFonts w:hint="eastAsia"/>
        </w:rPr>
        <w:t>产品或</w:t>
      </w:r>
      <w:r>
        <w:t>服务</w:t>
      </w:r>
      <w:r>
        <w:rPr>
          <w:rFonts w:hint="eastAsia"/>
        </w:rPr>
        <w:t>质量达到</w:t>
      </w:r>
      <w:r>
        <w:t>本项目采购文件及乙方的投标（</w:t>
      </w:r>
      <w:r>
        <w:rPr>
          <w:rFonts w:hint="eastAsia"/>
        </w:rPr>
        <w:t>响应</w:t>
      </w:r>
      <w:r>
        <w:t>）</w:t>
      </w:r>
      <w:r>
        <w:rPr>
          <w:rFonts w:hint="eastAsia"/>
        </w:rPr>
        <w:t>文件约定</w:t>
      </w:r>
      <w:r>
        <w:t>的内容，符合</w:t>
      </w:r>
      <w:r>
        <w:rPr>
          <w:rFonts w:hint="eastAsia"/>
        </w:rPr>
        <w:t>国家和行业相关标准。</w:t>
      </w:r>
    </w:p>
    <w:p>
      <w:pPr>
        <w:ind w:firstLine="0" w:firstLineChars="0"/>
        <w:jc w:val="left"/>
        <w:rPr>
          <w:b/>
        </w:rPr>
      </w:pPr>
      <w:bookmarkStart w:id="358" w:name="_Toc474327057"/>
      <w:bookmarkStart w:id="359" w:name="_Toc361325811"/>
      <w:bookmarkStart w:id="360" w:name="_Toc466391958"/>
      <w:bookmarkStart w:id="361" w:name="_Toc505261929"/>
      <w:bookmarkStart w:id="362" w:name="_Toc474502599"/>
      <w:bookmarkStart w:id="363" w:name="_Toc513469067"/>
      <w:r>
        <w:rPr>
          <w:rFonts w:hint="eastAsia"/>
          <w:b/>
        </w:rPr>
        <w:t>第五条  知识产权</w:t>
      </w:r>
      <w:bookmarkEnd w:id="358"/>
      <w:bookmarkEnd w:id="359"/>
      <w:bookmarkEnd w:id="360"/>
      <w:bookmarkEnd w:id="361"/>
      <w:bookmarkEnd w:id="362"/>
      <w:bookmarkEnd w:id="363"/>
    </w:p>
    <w:p>
      <w:pPr>
        <w:ind w:firstLine="480"/>
      </w:pPr>
      <w:r>
        <w:rPr>
          <w:rFonts w:hint="eastAsia"/>
        </w:rPr>
        <w:t>乙方应保证所提供的服务或其任何一部分均不会侵犯任何第三方的专利权、商标权或著作权。</w:t>
      </w:r>
    </w:p>
    <w:p>
      <w:pPr>
        <w:ind w:firstLine="0" w:firstLineChars="0"/>
        <w:jc w:val="left"/>
        <w:rPr>
          <w:b/>
        </w:rPr>
      </w:pPr>
      <w:bookmarkStart w:id="364" w:name="_Toc513469068"/>
      <w:bookmarkStart w:id="365" w:name="_Toc361325812"/>
      <w:bookmarkStart w:id="366" w:name="_Toc466391959"/>
      <w:bookmarkStart w:id="367" w:name="_Toc505261930"/>
      <w:bookmarkStart w:id="368" w:name="_Toc474502600"/>
      <w:bookmarkStart w:id="369" w:name="_Toc474327058"/>
      <w:r>
        <w:rPr>
          <w:rFonts w:hint="eastAsia"/>
          <w:b/>
        </w:rPr>
        <w:t>第六条  无产权瑕疵条款</w:t>
      </w:r>
      <w:bookmarkEnd w:id="364"/>
      <w:bookmarkEnd w:id="365"/>
      <w:bookmarkEnd w:id="366"/>
      <w:bookmarkEnd w:id="367"/>
      <w:bookmarkEnd w:id="368"/>
      <w:bookmarkEnd w:id="369"/>
    </w:p>
    <w:p>
      <w:pPr>
        <w:ind w:firstLine="480"/>
      </w:pPr>
      <w:r>
        <w:rPr>
          <w:rFonts w:hint="eastAsia"/>
        </w:rPr>
        <w:t>乙方保证所提供的服务的所有权完全属于乙方且无任何抵押、查封等产权瑕疵。如有产权瑕疵的，视为乙方违约。乙方应负担由此而产生的一切损失。</w:t>
      </w:r>
    </w:p>
    <w:p>
      <w:pPr>
        <w:ind w:firstLine="0" w:firstLineChars="0"/>
        <w:jc w:val="left"/>
        <w:rPr>
          <w:b/>
        </w:rPr>
      </w:pPr>
      <w:bookmarkStart w:id="370" w:name="_Toc474327059"/>
      <w:bookmarkStart w:id="371" w:name="_Toc361325813"/>
      <w:bookmarkStart w:id="372" w:name="_Toc513469069"/>
      <w:bookmarkStart w:id="373" w:name="_Toc466391960"/>
      <w:bookmarkStart w:id="374" w:name="_Toc474502601"/>
      <w:bookmarkStart w:id="375" w:name="_Toc505261931"/>
      <w:r>
        <w:rPr>
          <w:rFonts w:hint="eastAsia"/>
          <w:b/>
        </w:rPr>
        <w:t>第七条  履约保证金</w:t>
      </w:r>
      <w:bookmarkEnd w:id="370"/>
      <w:bookmarkEnd w:id="371"/>
      <w:bookmarkEnd w:id="372"/>
      <w:bookmarkEnd w:id="373"/>
      <w:bookmarkEnd w:id="374"/>
      <w:bookmarkEnd w:id="375"/>
    </w:p>
    <w:p>
      <w:pPr>
        <w:ind w:firstLine="480"/>
      </w:pPr>
      <w:r>
        <w:rPr>
          <w:rFonts w:hint="eastAsia"/>
        </w:rPr>
        <w:t>本项目</w:t>
      </w:r>
      <w:r>
        <w:t>不</w:t>
      </w:r>
      <w:r>
        <w:rPr>
          <w:rFonts w:hint="eastAsia"/>
        </w:rPr>
        <w:t>作</w:t>
      </w:r>
      <w:r>
        <w:t>要求。</w:t>
      </w:r>
    </w:p>
    <w:p>
      <w:pPr>
        <w:ind w:firstLine="0" w:firstLineChars="0"/>
        <w:jc w:val="left"/>
        <w:rPr>
          <w:b/>
        </w:rPr>
      </w:pPr>
      <w:bookmarkStart w:id="376" w:name="_Toc505261932"/>
      <w:bookmarkStart w:id="377" w:name="_Toc474327060"/>
      <w:bookmarkStart w:id="378" w:name="_Toc474502602"/>
      <w:bookmarkStart w:id="379" w:name="_Toc466391961"/>
      <w:bookmarkStart w:id="380" w:name="_Toc361325814"/>
      <w:bookmarkStart w:id="381" w:name="_Toc513469070"/>
      <w:r>
        <w:rPr>
          <w:rFonts w:hint="eastAsia"/>
          <w:b/>
        </w:rPr>
        <w:t xml:space="preserve">第八条  </w:t>
      </w:r>
      <w:r>
        <w:rPr>
          <w:b/>
        </w:rPr>
        <w:t>甲方的权利和义务</w:t>
      </w:r>
      <w:bookmarkEnd w:id="376"/>
      <w:bookmarkEnd w:id="377"/>
      <w:bookmarkEnd w:id="378"/>
      <w:bookmarkEnd w:id="379"/>
      <w:bookmarkEnd w:id="380"/>
      <w:bookmarkEnd w:id="381"/>
    </w:p>
    <w:p>
      <w:pPr>
        <w:ind w:firstLine="480"/>
      </w:pPr>
      <w:r>
        <w:rPr>
          <w:rFonts w:hint="eastAsia"/>
        </w:rPr>
        <w:t>1．</w:t>
      </w:r>
      <w:r>
        <w:t>甲方有权对合同规定范围内</w:t>
      </w:r>
      <w:r>
        <w:rPr>
          <w:rFonts w:hint="eastAsia"/>
        </w:rPr>
        <w:t>乙方的服务行为</w:t>
      </w:r>
      <w:r>
        <w:t>进行监督和检查，拥有监管权。有权定期核对乙方提供服务所配备的人员数量。对甲方认为不合理的部分有权</w:t>
      </w:r>
      <w:r>
        <w:rPr>
          <w:rFonts w:hint="eastAsia"/>
        </w:rPr>
        <w:t>下达整改通知书，并</w:t>
      </w:r>
      <w:r>
        <w:t>要求乙方</w:t>
      </w:r>
      <w:r>
        <w:rPr>
          <w:rFonts w:hint="eastAsia"/>
        </w:rPr>
        <w:t>限期整改</w:t>
      </w:r>
      <w:r>
        <w:t>。</w:t>
      </w:r>
    </w:p>
    <w:p>
      <w:pPr>
        <w:ind w:firstLine="480"/>
      </w:pPr>
      <w:r>
        <w:rPr>
          <w:rFonts w:hint="eastAsia"/>
        </w:rPr>
        <w:t>2．甲方有权依据双方签订的考评办法对乙方提供的服务进行定期考评。当考评结果未达到标准时，有权依据考评办法约定的数额扣除履约保证金。</w:t>
      </w:r>
    </w:p>
    <w:p>
      <w:pPr>
        <w:ind w:firstLine="480"/>
      </w:pPr>
      <w:r>
        <w:rPr>
          <w:rFonts w:hint="eastAsia"/>
        </w:rPr>
        <w:t>3．</w:t>
      </w:r>
      <w:r>
        <w:t>负责检查监督乙方管理工作的实施及制度的执行情况。</w:t>
      </w:r>
    </w:p>
    <w:p>
      <w:pPr>
        <w:ind w:firstLine="480"/>
      </w:pPr>
      <w:r>
        <w:rPr>
          <w:rFonts w:hint="eastAsia"/>
        </w:rPr>
        <w:t>4．</w:t>
      </w:r>
      <w:r>
        <w:t>根据本合同规定，按时向乙方支付应付</w:t>
      </w:r>
      <w:r>
        <w:rPr>
          <w:rFonts w:hint="eastAsia"/>
        </w:rPr>
        <w:t>服务费用</w:t>
      </w:r>
      <w:r>
        <w:t>。</w:t>
      </w:r>
    </w:p>
    <w:p>
      <w:pPr>
        <w:ind w:firstLine="480"/>
      </w:pPr>
      <w:r>
        <w:rPr>
          <w:rFonts w:hint="eastAsia"/>
        </w:rPr>
        <w:t>5．</w:t>
      </w:r>
      <w:r>
        <w:t>国家法律、法规所规定由甲方承担的其它责任。</w:t>
      </w:r>
    </w:p>
    <w:p>
      <w:pPr>
        <w:ind w:firstLine="480"/>
      </w:pPr>
      <w:r>
        <w:rPr>
          <w:rFonts w:hint="eastAsia"/>
        </w:rPr>
        <w:t>6．甲方</w:t>
      </w:r>
      <w:r>
        <w:t>应在乙方履约完成后，及时按照</w:t>
      </w:r>
      <w:r>
        <w:rPr>
          <w:rFonts w:hint="eastAsia"/>
        </w:rPr>
        <w:t>本项目采购文件及乙方的投标（响应）文件约定的内容，以及符合国家和行业相关标准。</w:t>
      </w:r>
    </w:p>
    <w:p>
      <w:pPr>
        <w:ind w:firstLine="0" w:firstLineChars="0"/>
        <w:jc w:val="left"/>
        <w:rPr>
          <w:b/>
        </w:rPr>
      </w:pPr>
      <w:bookmarkStart w:id="382" w:name="_Toc474502603"/>
      <w:bookmarkStart w:id="383" w:name="_Toc361325815"/>
      <w:bookmarkStart w:id="384" w:name="_Toc474327061"/>
      <w:bookmarkStart w:id="385" w:name="_Toc513469071"/>
      <w:bookmarkStart w:id="386" w:name="_Toc466391962"/>
      <w:bookmarkStart w:id="387" w:name="_Toc505261933"/>
      <w:r>
        <w:rPr>
          <w:rFonts w:hint="eastAsia"/>
          <w:b/>
        </w:rPr>
        <w:t xml:space="preserve">第九条  </w:t>
      </w:r>
      <w:r>
        <w:rPr>
          <w:b/>
        </w:rPr>
        <w:t>乙方的权利和义务</w:t>
      </w:r>
      <w:bookmarkEnd w:id="382"/>
      <w:bookmarkEnd w:id="383"/>
      <w:bookmarkEnd w:id="384"/>
      <w:bookmarkEnd w:id="385"/>
      <w:bookmarkEnd w:id="386"/>
      <w:bookmarkEnd w:id="387"/>
    </w:p>
    <w:p>
      <w:pPr>
        <w:ind w:firstLine="480"/>
      </w:pPr>
      <w:r>
        <w:rPr>
          <w:rFonts w:hint="eastAsia"/>
        </w:rPr>
        <w:t>1．</w:t>
      </w:r>
      <w:r>
        <w:t>对本合同规定的委托</w:t>
      </w:r>
      <w:r>
        <w:rPr>
          <w:rFonts w:hint="eastAsia"/>
        </w:rPr>
        <w:t>服务</w:t>
      </w:r>
      <w:r>
        <w:t>范围内的</w:t>
      </w:r>
      <w:r>
        <w:rPr>
          <w:rFonts w:hint="eastAsia"/>
        </w:rPr>
        <w:t>项目</w:t>
      </w:r>
      <w:r>
        <w:t>享有管理权及服务义务。</w:t>
      </w:r>
    </w:p>
    <w:p>
      <w:pPr>
        <w:ind w:firstLine="480"/>
      </w:pPr>
      <w:r>
        <w:rPr>
          <w:rFonts w:hint="eastAsia"/>
        </w:rPr>
        <w:t>2．</w:t>
      </w:r>
      <w:r>
        <w:t>根据本合同的规定向甲方收取相关</w:t>
      </w:r>
      <w:r>
        <w:rPr>
          <w:rFonts w:hint="eastAsia"/>
        </w:rPr>
        <w:t>服务</w:t>
      </w:r>
      <w:r>
        <w:t>费用，并有权</w:t>
      </w:r>
      <w:r>
        <w:rPr>
          <w:rFonts w:hint="eastAsia"/>
        </w:rPr>
        <w:t>在本项目管理范围内</w:t>
      </w:r>
      <w:r>
        <w:t>管理及合理使用。</w:t>
      </w:r>
    </w:p>
    <w:p>
      <w:pPr>
        <w:ind w:firstLine="480"/>
      </w:pPr>
      <w:r>
        <w:rPr>
          <w:rFonts w:hint="eastAsia"/>
        </w:rPr>
        <w:t>3．及时向甲方通告本项目服务范围内有关服务的重大事项，及时配合处理投诉。</w:t>
      </w:r>
    </w:p>
    <w:p>
      <w:pPr>
        <w:ind w:firstLine="480"/>
      </w:pPr>
      <w:r>
        <w:rPr>
          <w:rFonts w:hint="eastAsia"/>
        </w:rPr>
        <w:t>4．</w:t>
      </w:r>
      <w:r>
        <w:t>接受</w:t>
      </w:r>
      <w:r>
        <w:rPr>
          <w:rFonts w:hint="eastAsia"/>
        </w:rPr>
        <w:t>项目行</w:t>
      </w:r>
      <w:r>
        <w:t>业管理部门及政府有关部门的指导，接受甲方的监督。</w:t>
      </w:r>
    </w:p>
    <w:p>
      <w:pPr>
        <w:ind w:firstLine="480"/>
      </w:pPr>
      <w:r>
        <w:rPr>
          <w:rFonts w:hint="eastAsia"/>
        </w:rPr>
        <w:t>5．</w:t>
      </w:r>
      <w:r>
        <w:t>国家法律、法规所规定由乙方承担的其它责任。</w:t>
      </w:r>
    </w:p>
    <w:p>
      <w:pPr>
        <w:ind w:firstLine="480"/>
      </w:pPr>
      <w:r>
        <w:rPr>
          <w:rFonts w:hint="eastAsia"/>
        </w:rPr>
        <w:t>6．</w:t>
      </w:r>
      <w:r>
        <w:t>乙方应当在甲方</w:t>
      </w:r>
      <w:r>
        <w:rPr>
          <w:rFonts w:hint="eastAsia"/>
        </w:rPr>
        <w:t>组织</w:t>
      </w:r>
      <w:r>
        <w:t>验收合格之日起，</w:t>
      </w:r>
      <w:r>
        <w:rPr>
          <w:rFonts w:hint="eastAsia"/>
        </w:rPr>
        <w:t>7个</w:t>
      </w:r>
      <w:r>
        <w:t>工作日内</w:t>
      </w:r>
      <w:r>
        <w:rPr>
          <w:rFonts w:hint="eastAsia"/>
        </w:rPr>
        <w:t>开具</w:t>
      </w:r>
      <w:r>
        <w:t>等额发票交予</w:t>
      </w:r>
      <w:r>
        <w:rPr>
          <w:rFonts w:hint="eastAsia"/>
        </w:rPr>
        <w:t>甲方</w:t>
      </w:r>
      <w:r>
        <w:t>。</w:t>
      </w:r>
    </w:p>
    <w:p>
      <w:pPr>
        <w:ind w:firstLine="0" w:firstLineChars="0"/>
        <w:jc w:val="left"/>
        <w:rPr>
          <w:b/>
        </w:rPr>
      </w:pPr>
      <w:bookmarkStart w:id="388" w:name="_Toc474327062"/>
      <w:bookmarkStart w:id="389" w:name="_Toc474502604"/>
      <w:bookmarkStart w:id="390" w:name="_Toc505261934"/>
      <w:bookmarkStart w:id="391" w:name="_Toc513469072"/>
      <w:bookmarkStart w:id="392" w:name="_Toc466391963"/>
      <w:bookmarkStart w:id="393" w:name="_Toc361325816"/>
      <w:r>
        <w:rPr>
          <w:rFonts w:hint="eastAsia"/>
          <w:b/>
        </w:rPr>
        <w:t xml:space="preserve">第十条  </w:t>
      </w:r>
      <w:r>
        <w:rPr>
          <w:b/>
        </w:rPr>
        <w:t>违约责任</w:t>
      </w:r>
      <w:bookmarkEnd w:id="388"/>
      <w:bookmarkEnd w:id="389"/>
      <w:bookmarkEnd w:id="390"/>
      <w:bookmarkEnd w:id="391"/>
      <w:bookmarkEnd w:id="392"/>
      <w:bookmarkEnd w:id="393"/>
    </w:p>
    <w:p>
      <w:pPr>
        <w:ind w:firstLine="480"/>
      </w:pPr>
      <w:r>
        <w:rPr>
          <w:rFonts w:hint="eastAsia"/>
        </w:rPr>
        <w:t>1．</w:t>
      </w:r>
      <w:r>
        <w:t>甲乙双方必须遵守本合同并执行合同中的各项规定，保证</w:t>
      </w:r>
      <w:r>
        <w:rPr>
          <w:rFonts w:hint="eastAsia"/>
        </w:rPr>
        <w:t>本</w:t>
      </w:r>
      <w:r>
        <w:t>合同的正常</w:t>
      </w:r>
      <w:r>
        <w:rPr>
          <w:rFonts w:hint="eastAsia"/>
        </w:rPr>
        <w:t>履行</w:t>
      </w:r>
      <w:r>
        <w:t>。</w:t>
      </w:r>
    </w:p>
    <w:p>
      <w:pPr>
        <w:ind w:firstLine="480"/>
      </w:pPr>
      <w:r>
        <w:rPr>
          <w:rFonts w:hint="eastAsia"/>
        </w:rPr>
        <w:t>2．</w:t>
      </w:r>
      <w:r>
        <w:t>如因乙方</w:t>
      </w:r>
      <w:r>
        <w:rPr>
          <w:rFonts w:hint="eastAsia"/>
        </w:rPr>
        <w:t>工作人员在履行职务过程中的</w:t>
      </w:r>
      <w:r>
        <w:t>的疏忽、失职、过错等</w:t>
      </w:r>
      <w:r>
        <w:rPr>
          <w:rFonts w:hint="eastAsia"/>
        </w:rPr>
        <w:t>故意或者过失</w:t>
      </w:r>
      <w:r>
        <w:t>原因给甲方造成损失或侵害，</w:t>
      </w:r>
      <w:r>
        <w:rPr>
          <w:rFonts w:hint="eastAsia"/>
        </w:rPr>
        <w:t>包括但不限于甲方本身的财产损失、由此而导致的甲方对任何第三方的法律责任等，乙方对此均应承担全部的赔偿责任</w:t>
      </w:r>
      <w:r>
        <w:t>。</w:t>
      </w:r>
    </w:p>
    <w:p>
      <w:pPr>
        <w:ind w:firstLine="480"/>
      </w:pPr>
      <w:r>
        <w:rPr>
          <w:rFonts w:hint="eastAsia"/>
        </w:rPr>
        <w:t>3．对于因甲方原因导致变更、中止或者终止采购合同的，甲方应当依照合同约定对乙方受到的损失予以赔偿或者补偿。对于乙方已完成采购合同规定所有义务及内容的，甲方应按照合同约定全额支付等价资金；对于乙方已完成采购合同约定的部分内容，因甲方原因导致变更、中止或终止采购合同的，甲方应支付乙方已完成合同部分的价款，并按未完成合同部分价款的</w:t>
      </w:r>
      <w:r>
        <w:rPr>
          <w:u w:val="single"/>
        </w:rPr>
        <w:t xml:space="preserve">  </w:t>
      </w:r>
      <w:r>
        <w:rPr>
          <w:rFonts w:hint="eastAsia"/>
        </w:rPr>
        <w:t>%支付给乙方违约赔偿金；对于乙方还未开始履行采购合同约定的义务或内容时，甲方原因导致变更、中止或终止采购合同的，甲方应支付乙方合同总金额的</w:t>
      </w:r>
      <w:r>
        <w:rPr>
          <w:u w:val="single"/>
        </w:rPr>
        <w:t xml:space="preserve">    </w:t>
      </w:r>
      <w:r>
        <w:rPr>
          <w:rFonts w:hint="eastAsia"/>
        </w:rPr>
        <w:t>%，作为违约赔偿金。</w:t>
      </w:r>
    </w:p>
    <w:p>
      <w:pPr>
        <w:ind w:firstLine="480"/>
      </w:pPr>
      <w:r>
        <w:rPr>
          <w:rFonts w:hint="eastAsia"/>
        </w:rPr>
        <w:t>4．</w:t>
      </w:r>
      <w:r>
        <w:t>因乙方原因未在合同约定的时间范围内提供相应发票或其他资料导致资金支付或退还逾期的，甲方不承担相应的违约责任。</w:t>
      </w:r>
    </w:p>
    <w:p>
      <w:pPr>
        <w:ind w:firstLine="480"/>
      </w:pPr>
      <w:r>
        <w:t>5</w:t>
      </w:r>
      <w:r>
        <w:rPr>
          <w:rFonts w:hint="eastAsia"/>
        </w:rPr>
        <w:t>．甲方</w:t>
      </w:r>
      <w:r>
        <w:t>未在合同约定的时间内及时开展履约验收，支付采购</w:t>
      </w:r>
      <w:r>
        <w:rPr>
          <w:rFonts w:hint="eastAsia"/>
        </w:rPr>
        <w:t>资金</w:t>
      </w:r>
      <w:r>
        <w:t>和退还履约保证金，由此承担相应责任并</w:t>
      </w:r>
      <w:r>
        <w:rPr>
          <w:rFonts w:hint="eastAsia"/>
        </w:rPr>
        <w:t>按</w:t>
      </w:r>
      <w:r>
        <w:t>合同约定</w:t>
      </w:r>
      <w:r>
        <w:rPr>
          <w:rFonts w:hint="eastAsia"/>
        </w:rPr>
        <w:t>支付</w:t>
      </w:r>
      <w:r>
        <w:t>乙方相应的损失。</w:t>
      </w:r>
    </w:p>
    <w:p>
      <w:pPr>
        <w:ind w:firstLine="0" w:firstLineChars="0"/>
        <w:jc w:val="left"/>
        <w:rPr>
          <w:b/>
        </w:rPr>
      </w:pPr>
      <w:bookmarkStart w:id="394" w:name="_Toc474327063"/>
      <w:bookmarkStart w:id="395" w:name="_Toc505261935"/>
      <w:bookmarkStart w:id="396" w:name="_Toc361325817"/>
      <w:bookmarkStart w:id="397" w:name="_Toc466391964"/>
      <w:bookmarkStart w:id="398" w:name="_Toc474502605"/>
      <w:bookmarkStart w:id="399" w:name="_Toc513469073"/>
      <w:r>
        <w:rPr>
          <w:rFonts w:hint="eastAsia"/>
          <w:b/>
        </w:rPr>
        <w:t>第十一条  不可抗力事件处理</w:t>
      </w:r>
      <w:bookmarkEnd w:id="394"/>
      <w:bookmarkEnd w:id="395"/>
      <w:bookmarkEnd w:id="396"/>
      <w:bookmarkEnd w:id="397"/>
      <w:bookmarkEnd w:id="398"/>
      <w:bookmarkEnd w:id="399"/>
    </w:p>
    <w:p>
      <w:pPr>
        <w:ind w:firstLine="480"/>
      </w:pPr>
      <w:r>
        <w:rPr>
          <w:rFonts w:hint="eastAsia"/>
        </w:rPr>
        <w:t>1、在合同有效期内，任何一方因不可抗力事件导致不能履行合同，则合同履行期可延长，其延长期与不可抗力影响期相同。</w:t>
      </w:r>
    </w:p>
    <w:p>
      <w:pPr>
        <w:ind w:firstLine="480"/>
      </w:pPr>
      <w:r>
        <w:rPr>
          <w:rFonts w:hint="eastAsia"/>
        </w:rPr>
        <w:t>2、不可抗力事件发生后，应立即通知对方，并寄送有关权威机构出具的证明。</w:t>
      </w:r>
    </w:p>
    <w:p>
      <w:pPr>
        <w:ind w:firstLine="480"/>
      </w:pPr>
      <w:r>
        <w:rPr>
          <w:rFonts w:hint="eastAsia"/>
        </w:rPr>
        <w:t>3、不可抗力事件延续30天以上，双方应通过友好协商，确定是否继续履行合同。</w:t>
      </w:r>
    </w:p>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Pr>
        <w:ind w:firstLine="0" w:firstLineChars="0"/>
        <w:jc w:val="left"/>
        <w:rPr>
          <w:b/>
        </w:rPr>
      </w:pPr>
      <w:bookmarkStart w:id="400" w:name="_Toc251768867"/>
      <w:bookmarkStart w:id="401" w:name="_Toc466391965"/>
      <w:bookmarkStart w:id="402" w:name="_Toc361325818"/>
      <w:bookmarkStart w:id="403" w:name="_Toc232492933"/>
      <w:bookmarkStart w:id="404" w:name="_Toc225670756"/>
      <w:bookmarkStart w:id="405" w:name="_Toc474502606"/>
      <w:bookmarkStart w:id="406" w:name="_Toc241833908"/>
      <w:bookmarkStart w:id="407" w:name="_Toc211911353"/>
      <w:bookmarkStart w:id="408" w:name="_Toc505261936"/>
      <w:bookmarkStart w:id="409" w:name="_Toc185395254"/>
      <w:bookmarkStart w:id="410" w:name="_Toc238984980"/>
      <w:bookmarkStart w:id="411" w:name="_Toc239568423"/>
      <w:bookmarkStart w:id="412" w:name="_Toc211854454"/>
      <w:bookmarkStart w:id="413" w:name="_Toc237145411"/>
      <w:bookmarkStart w:id="414" w:name="_Toc212019599"/>
      <w:bookmarkStart w:id="415" w:name="_Toc247334846"/>
      <w:bookmarkStart w:id="416" w:name="_Toc239233919"/>
      <w:bookmarkStart w:id="417" w:name="_Toc225654649"/>
      <w:bookmarkStart w:id="418" w:name="_Toc286993792"/>
      <w:bookmarkStart w:id="419" w:name="_Toc474327064"/>
      <w:bookmarkStart w:id="420" w:name="_Toc225244857"/>
      <w:bookmarkStart w:id="421" w:name="_Toc513469074"/>
      <w:r>
        <w:rPr>
          <w:rFonts w:hint="eastAsia"/>
          <w:b/>
        </w:rPr>
        <w:t>第十二条  解</w:t>
      </w:r>
      <w:r>
        <w:rPr>
          <w:b/>
        </w:rPr>
        <w:t>决合同纠纷的方式</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pPr>
        <w:ind w:firstLine="480"/>
      </w:pPr>
      <w:r>
        <w:rPr>
          <w:rFonts w:hint="eastAsia"/>
        </w:rPr>
        <w:t>1、</w:t>
      </w:r>
      <w:r>
        <w:t>在执行本合同中发生的或与本合同有关的争端，双方应通过友好协商解决，经协商在</w:t>
      </w:r>
      <w:r>
        <w:rPr>
          <w:rFonts w:hint="eastAsia"/>
          <w:u w:val="single"/>
        </w:rPr>
        <w:t xml:space="preserve">    </w:t>
      </w:r>
      <w:r>
        <w:t>天内不能达成协议时，应提交</w:t>
      </w:r>
      <w:r>
        <w:rPr>
          <w:rFonts w:hint="eastAsia"/>
          <w:u w:val="single"/>
        </w:rPr>
        <w:t xml:space="preserve"> </w:t>
      </w:r>
      <w:r>
        <w:rPr>
          <w:u w:val="single"/>
        </w:rPr>
        <w:t xml:space="preserve">     </w:t>
      </w:r>
      <w:r>
        <w:t>仲裁委员会仲裁。</w:t>
      </w:r>
    </w:p>
    <w:p>
      <w:pPr>
        <w:tabs>
          <w:tab w:val="left" w:pos="0"/>
        </w:tabs>
        <w:ind w:firstLine="480"/>
      </w:pPr>
      <w:r>
        <w:rPr>
          <w:rFonts w:hint="eastAsia"/>
        </w:rPr>
        <w:t>2、</w:t>
      </w:r>
      <w:r>
        <w:t>仲裁裁决应为最终决定，并对双方具有约束力。</w:t>
      </w:r>
    </w:p>
    <w:p>
      <w:pPr>
        <w:tabs>
          <w:tab w:val="left" w:pos="0"/>
        </w:tabs>
        <w:ind w:firstLine="480"/>
      </w:pPr>
      <w:r>
        <w:rPr>
          <w:rFonts w:hint="eastAsia"/>
        </w:rPr>
        <w:t>3、</w:t>
      </w:r>
      <w:r>
        <w:t xml:space="preserve">除另有裁决外，仲裁费应由败诉方负担。 </w:t>
      </w:r>
    </w:p>
    <w:p>
      <w:pPr>
        <w:tabs>
          <w:tab w:val="left" w:pos="0"/>
        </w:tabs>
        <w:ind w:firstLine="480"/>
      </w:pPr>
      <w:r>
        <w:rPr>
          <w:rFonts w:hint="eastAsia"/>
        </w:rPr>
        <w:t>4、</w:t>
      </w:r>
      <w:r>
        <w:t xml:space="preserve">在仲裁期间，除正在进行仲裁部分外，合同其他部分继续执行。  </w:t>
      </w:r>
      <w:bookmarkStart w:id="422" w:name="_Toc212019600"/>
      <w:bookmarkStart w:id="423" w:name="_Toc225244858"/>
      <w:bookmarkStart w:id="424" w:name="_Toc283019219"/>
      <w:bookmarkStart w:id="425" w:name="_Toc225654650"/>
      <w:bookmarkStart w:id="426" w:name="_Toc282696231"/>
      <w:bookmarkStart w:id="427" w:name="_Toc251768868"/>
      <w:bookmarkStart w:id="428" w:name="_Toc211854455"/>
      <w:bookmarkStart w:id="429" w:name="_Toc247334847"/>
      <w:bookmarkStart w:id="430" w:name="_Toc225670757"/>
      <w:bookmarkStart w:id="431" w:name="_Toc237145412"/>
      <w:bookmarkStart w:id="432" w:name="_Toc239233920"/>
      <w:bookmarkStart w:id="433" w:name="_Toc211911354"/>
      <w:bookmarkStart w:id="434" w:name="_Toc185395255"/>
      <w:bookmarkStart w:id="435" w:name="_Toc239568424"/>
      <w:bookmarkStart w:id="436" w:name="_Toc241833909"/>
      <w:bookmarkStart w:id="437" w:name="_Toc238984981"/>
      <w:bookmarkStart w:id="438" w:name="_Toc286993793"/>
      <w:bookmarkStart w:id="439" w:name="_Toc232492934"/>
    </w:p>
    <w:p>
      <w:pPr>
        <w:ind w:firstLine="0" w:firstLineChars="0"/>
        <w:jc w:val="left"/>
        <w:rPr>
          <w:b/>
        </w:rPr>
      </w:pPr>
      <w:bookmarkStart w:id="440" w:name="_Toc361325819"/>
      <w:bookmarkStart w:id="441" w:name="_Toc505261937"/>
      <w:bookmarkStart w:id="442" w:name="_Toc474502607"/>
      <w:bookmarkStart w:id="443" w:name="_Toc513469075"/>
      <w:bookmarkStart w:id="444" w:name="_Toc474327065"/>
      <w:bookmarkStart w:id="445" w:name="_Toc466391966"/>
      <w:r>
        <w:rPr>
          <w:rFonts w:hint="eastAsia"/>
          <w:b/>
        </w:rPr>
        <w:t xml:space="preserve">第十三条  </w:t>
      </w:r>
      <w:r>
        <w:rPr>
          <w:b/>
        </w:rPr>
        <w:t>合同</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Pr>
          <w:rFonts w:hint="eastAsia"/>
          <w:b/>
        </w:rPr>
        <w:t>生效及其他</w:t>
      </w:r>
      <w:bookmarkEnd w:id="440"/>
      <w:bookmarkEnd w:id="441"/>
      <w:bookmarkEnd w:id="442"/>
      <w:bookmarkEnd w:id="443"/>
      <w:bookmarkEnd w:id="444"/>
      <w:bookmarkEnd w:id="445"/>
    </w:p>
    <w:p>
      <w:pPr>
        <w:ind w:firstLine="480"/>
      </w:pPr>
      <w:r>
        <w:rPr>
          <w:rFonts w:hint="eastAsia"/>
        </w:rPr>
        <w:t>1、合同经双方法定代表人或授权委托代理人签字并加盖单位公章后生效。</w:t>
      </w:r>
    </w:p>
    <w:p>
      <w:pPr>
        <w:ind w:firstLine="480"/>
      </w:pPr>
      <w:r>
        <w:rPr>
          <w:rFonts w:hint="eastAsia"/>
        </w:rPr>
        <w:t>2、合同执行中涉及采购资金和采购内容修改或补充的，作为主合同不可分割的一部分。</w:t>
      </w:r>
    </w:p>
    <w:p>
      <w:pPr>
        <w:ind w:firstLine="480"/>
      </w:pPr>
      <w:r>
        <w:rPr>
          <w:rFonts w:hint="eastAsia"/>
        </w:rPr>
        <w:t>3、本合同一式肆份，自双方签章之日起生效。甲方贰份，乙方贰份。</w:t>
      </w:r>
    </w:p>
    <w:p>
      <w:pPr>
        <w:ind w:firstLine="0" w:firstLineChars="0"/>
        <w:jc w:val="left"/>
        <w:rPr>
          <w:b/>
        </w:rPr>
      </w:pPr>
      <w:bookmarkStart w:id="446" w:name="_Toc361325820"/>
      <w:bookmarkStart w:id="447" w:name="_Toc474327066"/>
      <w:bookmarkStart w:id="448" w:name="_Toc513469076"/>
      <w:bookmarkStart w:id="449" w:name="_Toc505261938"/>
      <w:bookmarkStart w:id="450" w:name="_Toc466391967"/>
      <w:bookmarkStart w:id="451" w:name="_Toc474502608"/>
      <w:r>
        <w:rPr>
          <w:rFonts w:hint="eastAsia"/>
          <w:b/>
        </w:rPr>
        <w:t>第十四条  附件</w:t>
      </w:r>
      <w:bookmarkEnd w:id="446"/>
      <w:bookmarkEnd w:id="447"/>
      <w:bookmarkEnd w:id="448"/>
      <w:bookmarkEnd w:id="449"/>
      <w:bookmarkEnd w:id="450"/>
      <w:bookmarkEnd w:id="451"/>
    </w:p>
    <w:p>
      <w:pPr>
        <w:pStyle w:val="63"/>
        <w:ind w:firstLine="480"/>
      </w:pPr>
      <w:r>
        <w:rPr>
          <w:rFonts w:hint="eastAsia"/>
        </w:rPr>
        <w:t>1、项目磋商文件</w:t>
      </w:r>
    </w:p>
    <w:p>
      <w:pPr>
        <w:pStyle w:val="63"/>
        <w:ind w:firstLine="480"/>
      </w:pPr>
      <w:r>
        <w:rPr>
          <w:rFonts w:hint="eastAsia"/>
        </w:rPr>
        <w:t>2、项目修改澄清文件</w:t>
      </w:r>
    </w:p>
    <w:p>
      <w:pPr>
        <w:pStyle w:val="63"/>
        <w:ind w:firstLine="480"/>
      </w:pPr>
      <w:r>
        <w:rPr>
          <w:rFonts w:hint="eastAsia"/>
        </w:rPr>
        <w:t>3、项目响应文件</w:t>
      </w:r>
    </w:p>
    <w:p>
      <w:pPr>
        <w:pStyle w:val="63"/>
        <w:ind w:firstLine="480"/>
      </w:pPr>
      <w:r>
        <w:rPr>
          <w:rFonts w:hint="eastAsia"/>
        </w:rPr>
        <w:t>4、成交通知书</w:t>
      </w:r>
    </w:p>
    <w:p>
      <w:pPr>
        <w:pStyle w:val="63"/>
        <w:ind w:firstLine="480"/>
      </w:pPr>
      <w:r>
        <w:rPr>
          <w:rFonts w:hint="eastAsia"/>
        </w:rPr>
        <w:t>5、其他</w:t>
      </w:r>
    </w:p>
    <w:p>
      <w:pPr>
        <w:pStyle w:val="63"/>
        <w:ind w:firstLine="480"/>
      </w:pPr>
    </w:p>
    <w:p>
      <w:pPr>
        <w:spacing w:line="276" w:lineRule="auto"/>
        <w:ind w:firstLine="480"/>
      </w:pPr>
      <w:r>
        <w:rPr>
          <w:rFonts w:hint="eastAsia"/>
        </w:rPr>
        <w:t>甲方：   （盖章）</w:t>
      </w:r>
      <w:r>
        <w:t xml:space="preserve">   </w:t>
      </w:r>
      <w:r>
        <w:tab/>
      </w:r>
      <w:r>
        <w:tab/>
      </w:r>
      <w:r>
        <w:tab/>
      </w:r>
      <w:r>
        <w:t xml:space="preserve">    </w:t>
      </w:r>
      <w:r>
        <w:rPr>
          <w:rFonts w:hint="eastAsia"/>
        </w:rPr>
        <w:t xml:space="preserve">   乙方：</w:t>
      </w:r>
      <w:r>
        <w:t xml:space="preserve">   </w:t>
      </w:r>
      <w:r>
        <w:rPr>
          <w:rFonts w:hint="eastAsia"/>
        </w:rPr>
        <w:t>（盖章）</w:t>
      </w:r>
    </w:p>
    <w:p>
      <w:pPr>
        <w:spacing w:line="276" w:lineRule="auto"/>
        <w:ind w:firstLine="480"/>
      </w:pPr>
      <w:r>
        <w:rPr>
          <w:rFonts w:hint="eastAsia"/>
        </w:rPr>
        <w:t>法定代表人（授权代表）：</w:t>
      </w:r>
      <w:r>
        <w:t xml:space="preserve">            </w:t>
      </w:r>
      <w:r>
        <w:rPr>
          <w:rFonts w:hint="eastAsia"/>
        </w:rPr>
        <w:t>法定代表人（授权代表）：</w:t>
      </w:r>
    </w:p>
    <w:p>
      <w:pPr>
        <w:spacing w:line="276" w:lineRule="auto"/>
        <w:ind w:firstLine="480"/>
      </w:pPr>
      <w:r>
        <w:rPr>
          <w:rFonts w:hint="eastAsia"/>
        </w:rPr>
        <w:t>地</w:t>
      </w:r>
      <w:r>
        <w:t xml:space="preserve">    </w:t>
      </w:r>
      <w:r>
        <w:rPr>
          <w:rFonts w:hint="eastAsia"/>
        </w:rPr>
        <w:t>址：</w:t>
      </w:r>
      <w:r>
        <w:t xml:space="preserve">                         </w:t>
      </w:r>
      <w:r>
        <w:rPr>
          <w:rFonts w:hint="eastAsia"/>
        </w:rPr>
        <w:t>地</w:t>
      </w:r>
      <w:r>
        <w:t xml:space="preserve">    </w:t>
      </w:r>
      <w:r>
        <w:rPr>
          <w:rFonts w:hint="eastAsia"/>
        </w:rPr>
        <w:t>址：</w:t>
      </w:r>
    </w:p>
    <w:p>
      <w:pPr>
        <w:spacing w:line="276" w:lineRule="auto"/>
        <w:ind w:firstLine="480"/>
      </w:pPr>
      <w:r>
        <w:rPr>
          <w:rFonts w:hint="eastAsia"/>
        </w:rPr>
        <w:t>开户银行：</w:t>
      </w:r>
      <w:r>
        <w:t xml:space="preserve">                         </w:t>
      </w:r>
      <w:r>
        <w:rPr>
          <w:rFonts w:hint="eastAsia"/>
        </w:rPr>
        <w:t>开户银行：</w:t>
      </w:r>
    </w:p>
    <w:p>
      <w:pPr>
        <w:spacing w:line="276" w:lineRule="auto"/>
        <w:ind w:firstLine="480"/>
      </w:pPr>
      <w:r>
        <w:rPr>
          <w:rFonts w:hint="eastAsia"/>
        </w:rPr>
        <w:t>账    号：</w:t>
      </w:r>
      <w:r>
        <w:t xml:space="preserve">                        </w:t>
      </w:r>
      <w:r>
        <w:rPr>
          <w:rFonts w:hint="eastAsia"/>
        </w:rPr>
        <w:t xml:space="preserve"> 账    号：</w:t>
      </w:r>
    </w:p>
    <w:p>
      <w:pPr>
        <w:spacing w:line="276" w:lineRule="auto"/>
        <w:ind w:firstLine="480"/>
      </w:pPr>
      <w:r>
        <w:rPr>
          <w:rFonts w:hint="eastAsia"/>
        </w:rPr>
        <w:t>电</w:t>
      </w:r>
      <w:r>
        <w:t xml:space="preserve">    </w:t>
      </w:r>
      <w:r>
        <w:rPr>
          <w:rFonts w:hint="eastAsia"/>
        </w:rPr>
        <w:t>话：</w:t>
      </w:r>
      <w:r>
        <w:t xml:space="preserve">                         </w:t>
      </w:r>
      <w:r>
        <w:rPr>
          <w:rFonts w:hint="eastAsia"/>
        </w:rPr>
        <w:t>电</w:t>
      </w:r>
      <w:r>
        <w:t xml:space="preserve">    </w:t>
      </w:r>
      <w:r>
        <w:rPr>
          <w:rFonts w:hint="eastAsia"/>
        </w:rPr>
        <w:t>话：</w:t>
      </w:r>
    </w:p>
    <w:p>
      <w:pPr>
        <w:spacing w:line="276" w:lineRule="auto"/>
        <w:ind w:firstLine="480"/>
      </w:pPr>
      <w:r>
        <w:rPr>
          <w:rFonts w:hint="eastAsia"/>
        </w:rPr>
        <w:t>传</w:t>
      </w:r>
      <w:r>
        <w:t xml:space="preserve">    </w:t>
      </w:r>
      <w:r>
        <w:rPr>
          <w:rFonts w:hint="eastAsia"/>
        </w:rPr>
        <w:t>真：</w:t>
      </w:r>
      <w:r>
        <w:t xml:space="preserve">                         </w:t>
      </w:r>
      <w:r>
        <w:rPr>
          <w:rFonts w:hint="eastAsia"/>
        </w:rPr>
        <w:t>传</w:t>
      </w:r>
      <w:r>
        <w:t xml:space="preserve">    </w:t>
      </w:r>
      <w:r>
        <w:rPr>
          <w:rFonts w:hint="eastAsia"/>
        </w:rPr>
        <w:t>真：</w:t>
      </w:r>
    </w:p>
    <w:p>
      <w:pPr>
        <w:spacing w:line="276" w:lineRule="auto"/>
        <w:ind w:firstLine="480"/>
      </w:pPr>
      <w:r>
        <w:rPr>
          <w:rFonts w:hint="eastAsia"/>
        </w:rPr>
        <w:t>签约日期：XX年XX月XX日</w:t>
      </w:r>
      <w:r>
        <w:t xml:space="preserve"> </w:t>
      </w:r>
      <w:r>
        <w:tab/>
      </w:r>
      <w:r>
        <w:tab/>
      </w:r>
      <w:r>
        <w:tab/>
      </w:r>
      <w:r>
        <w:rPr>
          <w:rFonts w:hint="eastAsia"/>
        </w:rPr>
        <w:t>签约日期：XX年XX月XX日</w:t>
      </w:r>
    </w:p>
    <w:p>
      <w:pPr>
        <w:spacing w:line="276" w:lineRule="auto"/>
        <w:ind w:firstLine="480"/>
      </w:pPr>
    </w:p>
    <w:p>
      <w:pPr>
        <w:widowControl/>
        <w:spacing w:line="240" w:lineRule="auto"/>
        <w:ind w:firstLine="0" w:firstLineChars="0"/>
        <w:jc w:val="left"/>
      </w:pPr>
    </w:p>
    <w:sectPr>
      <w:pgSz w:w="11906" w:h="16838"/>
      <w:pgMar w:top="1418" w:right="1639" w:bottom="1418" w:left="1639" w:header="680" w:footer="992"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720" w:right="270" w:firstLine="0" w:firstLineChars="0"/>
      <w:jc w:val="right"/>
    </w:pPr>
    <w:sdt>
      <w:sdtPr>
        <w:id w:val="1506947885"/>
      </w:sdtPr>
      <w:sdtContent>
        <w:r>
          <w:fldChar w:fldCharType="begin"/>
        </w:r>
        <w:r>
          <w:instrText xml:space="preserve">PAGE   \* MERGEFORMAT</w:instrText>
        </w:r>
        <w:r>
          <w:fldChar w:fldCharType="separate"/>
        </w:r>
        <w:r>
          <w:rPr>
            <w:lang w:val="zh-CN"/>
          </w:rPr>
          <w:t>19</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03A9E"/>
    <w:multiLevelType w:val="singleLevel"/>
    <w:tmpl w:val="B0E03A9E"/>
    <w:lvl w:ilvl="0" w:tentative="0">
      <w:start w:val="1"/>
      <w:numFmt w:val="chineseCounting"/>
      <w:suff w:val="nothing"/>
      <w:lvlText w:val="（%1）"/>
      <w:lvlJc w:val="left"/>
      <w:pPr>
        <w:ind w:left="0" w:firstLine="0"/>
      </w:pPr>
      <w:rPr>
        <w:rFonts w:hint="eastAsia"/>
      </w:rPr>
    </w:lvl>
  </w:abstractNum>
  <w:abstractNum w:abstractNumId="1">
    <w:nsid w:val="D316A55F"/>
    <w:multiLevelType w:val="multilevel"/>
    <w:tmpl w:val="D316A55F"/>
    <w:lvl w:ilvl="0" w:tentative="0">
      <w:start w:val="1"/>
      <w:numFmt w:val="chineseCountingThousand"/>
      <w:pStyle w:val="3"/>
      <w:suff w:val="space"/>
      <w:lvlText w:val="第%1章"/>
      <w:lvlJc w:val="left"/>
      <w:pPr>
        <w:ind w:left="0" w:firstLine="0"/>
      </w:pPr>
      <w:rPr>
        <w:rFonts w:hint="eastAsia"/>
      </w:rPr>
    </w:lvl>
    <w:lvl w:ilvl="1" w:tentative="0">
      <w:start w:val="1"/>
      <w:numFmt w:val="decimal"/>
      <w:suff w:val="nothing"/>
      <w:lvlText w:val="%2."/>
      <w:lvlJc w:val="left"/>
      <w:pPr>
        <w:ind w:left="0" w:firstLine="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lvlRestart w:val="1"/>
      <w:pStyle w:val="5"/>
      <w:suff w:val="space"/>
      <w:lvlText w:val="%3."/>
      <w:lvlJc w:val="left"/>
      <w:pPr>
        <w:ind w:left="0" w:firstLine="146"/>
      </w:pPr>
      <w:rPr>
        <w:rFonts w:hint="eastAsia"/>
      </w:rPr>
    </w:lvl>
    <w:lvl w:ilvl="3" w:tentative="0">
      <w:start w:val="1"/>
      <w:numFmt w:val="decimal"/>
      <w:pStyle w:val="6"/>
      <w:suff w:val="space"/>
      <w:lvlText w:val="%3.%4"/>
      <w:lvlJc w:val="left"/>
      <w:pPr>
        <w:ind w:left="710" w:firstLine="0"/>
      </w:pPr>
      <w:rPr>
        <w:rFonts w:hint="eastAsia"/>
      </w:rPr>
    </w:lvl>
    <w:lvl w:ilvl="4" w:tentative="0">
      <w:start w:val="1"/>
      <w:numFmt w:val="decimal"/>
      <w:pStyle w:val="7"/>
      <w:isLgl/>
      <w:suff w:val="space"/>
      <w:lvlText w:val="%3.%4.%5"/>
      <w:lvlJc w:val="left"/>
      <w:pPr>
        <w:ind w:left="0" w:firstLine="0"/>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1DBF583A"/>
    <w:multiLevelType w:val="multilevel"/>
    <w:tmpl w:val="1DBF583A"/>
    <w:lvl w:ilvl="0" w:tentative="0">
      <w:start w:val="1"/>
      <w:numFmt w:val="decimal"/>
      <w:pStyle w:val="9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3">
    <w:nsid w:val="29554D59"/>
    <w:multiLevelType w:val="multilevel"/>
    <w:tmpl w:val="29554D59"/>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DEF6EB5"/>
    <w:multiLevelType w:val="singleLevel"/>
    <w:tmpl w:val="2DEF6EB5"/>
    <w:lvl w:ilvl="0" w:tentative="0">
      <w:start w:val="6"/>
      <w:numFmt w:val="decimal"/>
      <w:pStyle w:val="93"/>
      <w:suff w:val="nothing"/>
      <w:lvlText w:val="%1、"/>
      <w:lvlJc w:val="left"/>
    </w:lvl>
  </w:abstractNum>
  <w:abstractNum w:abstractNumId="5">
    <w:nsid w:val="501532D8"/>
    <w:multiLevelType w:val="singleLevel"/>
    <w:tmpl w:val="501532D8"/>
    <w:lvl w:ilvl="0" w:tentative="0">
      <w:start w:val="1"/>
      <w:numFmt w:val="decimal"/>
      <w:suff w:val="nothing"/>
      <w:lvlText w:val="（%1）"/>
      <w:lvlJc w:val="left"/>
    </w:lvl>
  </w:abstractNum>
  <w:abstractNum w:abstractNumId="6">
    <w:nsid w:val="55DD5A5D"/>
    <w:multiLevelType w:val="multilevel"/>
    <w:tmpl w:val="55DD5A5D"/>
    <w:lvl w:ilvl="0" w:tentative="0">
      <w:start w:val="1"/>
      <w:numFmt w:val="chineseCountingThousand"/>
      <w:suff w:val="space"/>
      <w:lvlText w:val="第%1章"/>
      <w:lvlJc w:val="left"/>
      <w:pPr>
        <w:ind w:left="0" w:firstLine="0"/>
      </w:pPr>
      <w:rPr>
        <w:rFonts w:hint="eastAsia"/>
      </w:rPr>
    </w:lvl>
    <w:lvl w:ilvl="1" w:tentative="0">
      <w:start w:val="1"/>
      <w:numFmt w:val="decimal"/>
      <w:suff w:val="nothing"/>
      <w:lvlText w:val="%2."/>
      <w:lvlJc w:val="left"/>
      <w:pPr>
        <w:ind w:left="0" w:firstLine="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lvlRestart w:val="1"/>
      <w:suff w:val="space"/>
      <w:lvlText w:val="%3."/>
      <w:lvlJc w:val="left"/>
      <w:pPr>
        <w:ind w:left="0" w:firstLine="0"/>
      </w:pPr>
      <w:rPr>
        <w:rFonts w:hint="eastAsia"/>
      </w:rPr>
    </w:lvl>
    <w:lvl w:ilvl="3" w:tentative="0">
      <w:start w:val="1"/>
      <w:numFmt w:val="decimal"/>
      <w:suff w:val="space"/>
      <w:lvlText w:val="%3.%4"/>
      <w:lvlJc w:val="left"/>
      <w:pPr>
        <w:ind w:left="710" w:firstLine="0"/>
      </w:pPr>
      <w:rPr>
        <w:rFonts w:hint="eastAsia"/>
      </w:rPr>
    </w:lvl>
    <w:lvl w:ilvl="4" w:tentative="0">
      <w:start w:val="1"/>
      <w:numFmt w:val="decimal"/>
      <w:isLgl/>
      <w:suff w:val="space"/>
      <w:lvlText w:val="%3.%4.%5"/>
      <w:lvlJc w:val="left"/>
      <w:pPr>
        <w:ind w:left="0" w:firstLine="0"/>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7">
    <w:nsid w:val="59E8A194"/>
    <w:multiLevelType w:val="singleLevel"/>
    <w:tmpl w:val="59E8A194"/>
    <w:lvl w:ilvl="0" w:tentative="0">
      <w:start w:val="1"/>
      <w:numFmt w:val="decimal"/>
      <w:suff w:val="nothing"/>
      <w:lvlText w:val="（%1）"/>
      <w:lvlJc w:val="left"/>
    </w:lvl>
  </w:abstractNum>
  <w:abstractNum w:abstractNumId="8">
    <w:nsid w:val="738B7CBE"/>
    <w:multiLevelType w:val="multilevel"/>
    <w:tmpl w:val="738B7CBE"/>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7A95D32"/>
    <w:multiLevelType w:val="multilevel"/>
    <w:tmpl w:val="77A95D32"/>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78DB3430"/>
    <w:multiLevelType w:val="multilevel"/>
    <w:tmpl w:val="78DB3430"/>
    <w:lvl w:ilvl="0" w:tentative="0">
      <w:start w:val="1"/>
      <w:numFmt w:val="chineseCountingThousand"/>
      <w:pStyle w:val="4"/>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10"/>
  </w:num>
  <w:num w:numId="3">
    <w:abstractNumId w:val="2"/>
  </w:num>
  <w:num w:numId="4">
    <w:abstractNumId w:val="4"/>
  </w:num>
  <w:num w:numId="5">
    <w:abstractNumId w:val="6"/>
  </w:num>
  <w:num w:numId="6">
    <w:abstractNumId w:val="10"/>
    <w:lvlOverride w:ilvl="0">
      <w:startOverride w:val="1"/>
    </w:lvlOverride>
  </w:num>
  <w:num w:numId="7">
    <w:abstractNumId w:val="8"/>
  </w:num>
  <w:num w:numId="8">
    <w:abstractNumId w:val="10"/>
    <w:lvlOverride w:ilvl="0">
      <w:startOverride w:val="1"/>
    </w:lvlOverride>
  </w:num>
  <w:num w:numId="9">
    <w:abstractNumId w:val="10"/>
    <w:lvlOverride w:ilvl="0">
      <w:startOverride w:val="1"/>
    </w:lvlOverride>
  </w:num>
  <w:num w:numId="10">
    <w:abstractNumId w:val="0"/>
  </w:num>
  <w:num w:numId="11">
    <w:abstractNumId w:val="7"/>
  </w:num>
  <w:num w:numId="12">
    <w:abstractNumId w:val="5"/>
  </w:num>
  <w:num w:numId="13">
    <w:abstractNumId w:val="10"/>
    <w:lvlOverride w:ilvl="0">
      <w:startOverride w:val="1"/>
    </w:lvlOverride>
  </w:num>
  <w:num w:numId="14">
    <w:abstractNumId w:val="9"/>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4"/>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FjMGZkN2NmYmVlNWE2ZTJiYTQ0YWQzNjRjZWRlNjEifQ=="/>
  </w:docVars>
  <w:rsids>
    <w:rsidRoot w:val="007022AB"/>
    <w:rsid w:val="000035BE"/>
    <w:rsid w:val="000058F9"/>
    <w:rsid w:val="00011252"/>
    <w:rsid w:val="000125BD"/>
    <w:rsid w:val="00017918"/>
    <w:rsid w:val="000179F4"/>
    <w:rsid w:val="0002112F"/>
    <w:rsid w:val="00021386"/>
    <w:rsid w:val="000222A6"/>
    <w:rsid w:val="0002264D"/>
    <w:rsid w:val="00022E30"/>
    <w:rsid w:val="0002348F"/>
    <w:rsid w:val="00024395"/>
    <w:rsid w:val="00024D4B"/>
    <w:rsid w:val="000250C7"/>
    <w:rsid w:val="00030739"/>
    <w:rsid w:val="00031170"/>
    <w:rsid w:val="00032F34"/>
    <w:rsid w:val="00037817"/>
    <w:rsid w:val="0005156C"/>
    <w:rsid w:val="00055F45"/>
    <w:rsid w:val="00057085"/>
    <w:rsid w:val="00061458"/>
    <w:rsid w:val="00061D85"/>
    <w:rsid w:val="00063E7A"/>
    <w:rsid w:val="00064BDE"/>
    <w:rsid w:val="0006595B"/>
    <w:rsid w:val="00067706"/>
    <w:rsid w:val="000702BB"/>
    <w:rsid w:val="00077F0C"/>
    <w:rsid w:val="000808D3"/>
    <w:rsid w:val="000809E3"/>
    <w:rsid w:val="00081C15"/>
    <w:rsid w:val="00085ABB"/>
    <w:rsid w:val="000925D4"/>
    <w:rsid w:val="00092BC8"/>
    <w:rsid w:val="0009504E"/>
    <w:rsid w:val="00095934"/>
    <w:rsid w:val="000B5481"/>
    <w:rsid w:val="000B6504"/>
    <w:rsid w:val="000B7475"/>
    <w:rsid w:val="000C357A"/>
    <w:rsid w:val="000C525D"/>
    <w:rsid w:val="000C7061"/>
    <w:rsid w:val="000D4233"/>
    <w:rsid w:val="000D7697"/>
    <w:rsid w:val="000E0EC2"/>
    <w:rsid w:val="000E1A7B"/>
    <w:rsid w:val="000F0959"/>
    <w:rsid w:val="000F3AA0"/>
    <w:rsid w:val="000F3E43"/>
    <w:rsid w:val="000F419A"/>
    <w:rsid w:val="000F4D5B"/>
    <w:rsid w:val="00107167"/>
    <w:rsid w:val="00107DBD"/>
    <w:rsid w:val="00107DEC"/>
    <w:rsid w:val="0011175C"/>
    <w:rsid w:val="00113B32"/>
    <w:rsid w:val="00116109"/>
    <w:rsid w:val="00117D7C"/>
    <w:rsid w:val="00120AE4"/>
    <w:rsid w:val="00121795"/>
    <w:rsid w:val="00122379"/>
    <w:rsid w:val="0012259B"/>
    <w:rsid w:val="00133D68"/>
    <w:rsid w:val="00133DF2"/>
    <w:rsid w:val="00133FA0"/>
    <w:rsid w:val="00134FA5"/>
    <w:rsid w:val="0013654F"/>
    <w:rsid w:val="00150864"/>
    <w:rsid w:val="00153F5A"/>
    <w:rsid w:val="00154323"/>
    <w:rsid w:val="00156000"/>
    <w:rsid w:val="00156B05"/>
    <w:rsid w:val="001577EF"/>
    <w:rsid w:val="00162665"/>
    <w:rsid w:val="00162D0A"/>
    <w:rsid w:val="00175E7E"/>
    <w:rsid w:val="0017605E"/>
    <w:rsid w:val="0017755D"/>
    <w:rsid w:val="0018061C"/>
    <w:rsid w:val="00183D66"/>
    <w:rsid w:val="001865F8"/>
    <w:rsid w:val="00187023"/>
    <w:rsid w:val="00187D5C"/>
    <w:rsid w:val="00190ADE"/>
    <w:rsid w:val="0019669B"/>
    <w:rsid w:val="001A235D"/>
    <w:rsid w:val="001A3479"/>
    <w:rsid w:val="001B3FA2"/>
    <w:rsid w:val="001B5FF4"/>
    <w:rsid w:val="001B7E6E"/>
    <w:rsid w:val="001C0B7D"/>
    <w:rsid w:val="001C154D"/>
    <w:rsid w:val="001C569B"/>
    <w:rsid w:val="001C78E0"/>
    <w:rsid w:val="001D0611"/>
    <w:rsid w:val="001D0EB7"/>
    <w:rsid w:val="001D131C"/>
    <w:rsid w:val="001D54A1"/>
    <w:rsid w:val="001D69EC"/>
    <w:rsid w:val="001E50FB"/>
    <w:rsid w:val="001E7E89"/>
    <w:rsid w:val="001F0560"/>
    <w:rsid w:val="001F4368"/>
    <w:rsid w:val="002004E6"/>
    <w:rsid w:val="002022A2"/>
    <w:rsid w:val="002041CF"/>
    <w:rsid w:val="00204D48"/>
    <w:rsid w:val="00206E13"/>
    <w:rsid w:val="00207EE6"/>
    <w:rsid w:val="00224E6D"/>
    <w:rsid w:val="00225226"/>
    <w:rsid w:val="002304AC"/>
    <w:rsid w:val="002323C3"/>
    <w:rsid w:val="00234886"/>
    <w:rsid w:val="002406A2"/>
    <w:rsid w:val="00242D7C"/>
    <w:rsid w:val="00243C2D"/>
    <w:rsid w:val="00244330"/>
    <w:rsid w:val="00244613"/>
    <w:rsid w:val="0025096E"/>
    <w:rsid w:val="00251A23"/>
    <w:rsid w:val="00254B8C"/>
    <w:rsid w:val="00255514"/>
    <w:rsid w:val="0026021D"/>
    <w:rsid w:val="00262C26"/>
    <w:rsid w:val="002634F7"/>
    <w:rsid w:val="002655EB"/>
    <w:rsid w:val="00265D4C"/>
    <w:rsid w:val="002674E9"/>
    <w:rsid w:val="00272641"/>
    <w:rsid w:val="00272C3C"/>
    <w:rsid w:val="00274D86"/>
    <w:rsid w:val="00275523"/>
    <w:rsid w:val="00275D2E"/>
    <w:rsid w:val="00276EBA"/>
    <w:rsid w:val="00286E41"/>
    <w:rsid w:val="00293C9E"/>
    <w:rsid w:val="002A079E"/>
    <w:rsid w:val="002A6107"/>
    <w:rsid w:val="002A689E"/>
    <w:rsid w:val="002B446E"/>
    <w:rsid w:val="002B5D8A"/>
    <w:rsid w:val="002C2408"/>
    <w:rsid w:val="002D0018"/>
    <w:rsid w:val="002D3093"/>
    <w:rsid w:val="002D5830"/>
    <w:rsid w:val="002D6054"/>
    <w:rsid w:val="002E7056"/>
    <w:rsid w:val="002F2936"/>
    <w:rsid w:val="002F69CC"/>
    <w:rsid w:val="002F6E58"/>
    <w:rsid w:val="00304D85"/>
    <w:rsid w:val="003078FB"/>
    <w:rsid w:val="003113F1"/>
    <w:rsid w:val="00313AB2"/>
    <w:rsid w:val="00316149"/>
    <w:rsid w:val="00325B94"/>
    <w:rsid w:val="00325EEC"/>
    <w:rsid w:val="00326942"/>
    <w:rsid w:val="00333BA4"/>
    <w:rsid w:val="00337D4D"/>
    <w:rsid w:val="003411E9"/>
    <w:rsid w:val="00345ECD"/>
    <w:rsid w:val="00346236"/>
    <w:rsid w:val="0035729B"/>
    <w:rsid w:val="00360BB2"/>
    <w:rsid w:val="00362D40"/>
    <w:rsid w:val="00362EA3"/>
    <w:rsid w:val="00366B59"/>
    <w:rsid w:val="003720F2"/>
    <w:rsid w:val="003723E9"/>
    <w:rsid w:val="00377333"/>
    <w:rsid w:val="00377B68"/>
    <w:rsid w:val="00381540"/>
    <w:rsid w:val="00381C78"/>
    <w:rsid w:val="00381DA0"/>
    <w:rsid w:val="00383A8A"/>
    <w:rsid w:val="00384222"/>
    <w:rsid w:val="003872A2"/>
    <w:rsid w:val="00387315"/>
    <w:rsid w:val="00395A19"/>
    <w:rsid w:val="003973AB"/>
    <w:rsid w:val="003979C4"/>
    <w:rsid w:val="003A70EF"/>
    <w:rsid w:val="003B4B74"/>
    <w:rsid w:val="003C0C8D"/>
    <w:rsid w:val="003C1A43"/>
    <w:rsid w:val="003C38A8"/>
    <w:rsid w:val="003C659B"/>
    <w:rsid w:val="003D2FC7"/>
    <w:rsid w:val="003D4C89"/>
    <w:rsid w:val="003D54C9"/>
    <w:rsid w:val="003E1CD7"/>
    <w:rsid w:val="003E37F1"/>
    <w:rsid w:val="003E6DC8"/>
    <w:rsid w:val="003F03D4"/>
    <w:rsid w:val="003F05B6"/>
    <w:rsid w:val="003F2296"/>
    <w:rsid w:val="003F6235"/>
    <w:rsid w:val="003F72FD"/>
    <w:rsid w:val="00401524"/>
    <w:rsid w:val="00402883"/>
    <w:rsid w:val="004061E4"/>
    <w:rsid w:val="004120C4"/>
    <w:rsid w:val="00424237"/>
    <w:rsid w:val="004253EC"/>
    <w:rsid w:val="00426B32"/>
    <w:rsid w:val="00426E5E"/>
    <w:rsid w:val="00433EC1"/>
    <w:rsid w:val="00436EAA"/>
    <w:rsid w:val="00444101"/>
    <w:rsid w:val="00447390"/>
    <w:rsid w:val="004506C1"/>
    <w:rsid w:val="0045485D"/>
    <w:rsid w:val="00464894"/>
    <w:rsid w:val="0047084B"/>
    <w:rsid w:val="00470C98"/>
    <w:rsid w:val="00471B26"/>
    <w:rsid w:val="00472F97"/>
    <w:rsid w:val="00475082"/>
    <w:rsid w:val="00480F9F"/>
    <w:rsid w:val="00483DC2"/>
    <w:rsid w:val="00485446"/>
    <w:rsid w:val="004863A9"/>
    <w:rsid w:val="0049067B"/>
    <w:rsid w:val="00494D59"/>
    <w:rsid w:val="004A2801"/>
    <w:rsid w:val="004A32F8"/>
    <w:rsid w:val="004A606D"/>
    <w:rsid w:val="004A6A7D"/>
    <w:rsid w:val="004B051A"/>
    <w:rsid w:val="004B3E0A"/>
    <w:rsid w:val="004C0C08"/>
    <w:rsid w:val="004C1F46"/>
    <w:rsid w:val="004D0E83"/>
    <w:rsid w:val="004D234B"/>
    <w:rsid w:val="004D3665"/>
    <w:rsid w:val="004D5BD6"/>
    <w:rsid w:val="004E5D17"/>
    <w:rsid w:val="004F07B5"/>
    <w:rsid w:val="0050537B"/>
    <w:rsid w:val="00512A60"/>
    <w:rsid w:val="00513978"/>
    <w:rsid w:val="0051624A"/>
    <w:rsid w:val="00517376"/>
    <w:rsid w:val="0052198D"/>
    <w:rsid w:val="00533DB3"/>
    <w:rsid w:val="005351FC"/>
    <w:rsid w:val="005378CA"/>
    <w:rsid w:val="00550A5B"/>
    <w:rsid w:val="00550F9E"/>
    <w:rsid w:val="00553CC5"/>
    <w:rsid w:val="00560156"/>
    <w:rsid w:val="0056396F"/>
    <w:rsid w:val="00564E6D"/>
    <w:rsid w:val="00576201"/>
    <w:rsid w:val="00577F4F"/>
    <w:rsid w:val="005805B4"/>
    <w:rsid w:val="00581CE2"/>
    <w:rsid w:val="00584585"/>
    <w:rsid w:val="0058504E"/>
    <w:rsid w:val="00593F4D"/>
    <w:rsid w:val="005955C7"/>
    <w:rsid w:val="0059692E"/>
    <w:rsid w:val="00596DB9"/>
    <w:rsid w:val="005A138A"/>
    <w:rsid w:val="005A4ED9"/>
    <w:rsid w:val="005A6F75"/>
    <w:rsid w:val="005B0E33"/>
    <w:rsid w:val="005B4B4B"/>
    <w:rsid w:val="005B7C5D"/>
    <w:rsid w:val="005B7E1E"/>
    <w:rsid w:val="005C121F"/>
    <w:rsid w:val="005C1B1C"/>
    <w:rsid w:val="005C4B93"/>
    <w:rsid w:val="005C5378"/>
    <w:rsid w:val="005C62A5"/>
    <w:rsid w:val="005C6F7B"/>
    <w:rsid w:val="005D2DB7"/>
    <w:rsid w:val="005E2201"/>
    <w:rsid w:val="005E23FF"/>
    <w:rsid w:val="005E28F6"/>
    <w:rsid w:val="005E4F0D"/>
    <w:rsid w:val="005E6578"/>
    <w:rsid w:val="005E7648"/>
    <w:rsid w:val="005F0D8D"/>
    <w:rsid w:val="005F1333"/>
    <w:rsid w:val="005F1C4D"/>
    <w:rsid w:val="005F424E"/>
    <w:rsid w:val="005F5CAE"/>
    <w:rsid w:val="005F7113"/>
    <w:rsid w:val="005F7A61"/>
    <w:rsid w:val="00601C86"/>
    <w:rsid w:val="00603712"/>
    <w:rsid w:val="00603ACF"/>
    <w:rsid w:val="00605E7A"/>
    <w:rsid w:val="006125CD"/>
    <w:rsid w:val="006148A8"/>
    <w:rsid w:val="00617DEC"/>
    <w:rsid w:val="006278DE"/>
    <w:rsid w:val="006301AD"/>
    <w:rsid w:val="0063219D"/>
    <w:rsid w:val="00632B5C"/>
    <w:rsid w:val="00633F37"/>
    <w:rsid w:val="00635272"/>
    <w:rsid w:val="00635575"/>
    <w:rsid w:val="006358E8"/>
    <w:rsid w:val="00636A97"/>
    <w:rsid w:val="006377B2"/>
    <w:rsid w:val="00642D30"/>
    <w:rsid w:val="00646F50"/>
    <w:rsid w:val="0065491F"/>
    <w:rsid w:val="00654B88"/>
    <w:rsid w:val="00657EF7"/>
    <w:rsid w:val="00672D6F"/>
    <w:rsid w:val="0067430D"/>
    <w:rsid w:val="0067739C"/>
    <w:rsid w:val="00677BE4"/>
    <w:rsid w:val="00681A68"/>
    <w:rsid w:val="006835CF"/>
    <w:rsid w:val="0068424C"/>
    <w:rsid w:val="00684AF3"/>
    <w:rsid w:val="00685D59"/>
    <w:rsid w:val="006908BE"/>
    <w:rsid w:val="00692797"/>
    <w:rsid w:val="006963AA"/>
    <w:rsid w:val="006A3DE7"/>
    <w:rsid w:val="006A57E7"/>
    <w:rsid w:val="006B26E8"/>
    <w:rsid w:val="006B28AE"/>
    <w:rsid w:val="006B3360"/>
    <w:rsid w:val="006B3F42"/>
    <w:rsid w:val="006B55CD"/>
    <w:rsid w:val="006B5640"/>
    <w:rsid w:val="006C26CE"/>
    <w:rsid w:val="006C460A"/>
    <w:rsid w:val="006C7AF4"/>
    <w:rsid w:val="006D4AA7"/>
    <w:rsid w:val="006D6B8A"/>
    <w:rsid w:val="006E089C"/>
    <w:rsid w:val="006E2808"/>
    <w:rsid w:val="00700068"/>
    <w:rsid w:val="00702129"/>
    <w:rsid w:val="007022AB"/>
    <w:rsid w:val="00707C4D"/>
    <w:rsid w:val="00707F74"/>
    <w:rsid w:val="007102D1"/>
    <w:rsid w:val="00711293"/>
    <w:rsid w:val="00713597"/>
    <w:rsid w:val="00715425"/>
    <w:rsid w:val="007207E9"/>
    <w:rsid w:val="00721E15"/>
    <w:rsid w:val="00722E27"/>
    <w:rsid w:val="00723C70"/>
    <w:rsid w:val="0072759F"/>
    <w:rsid w:val="007276F2"/>
    <w:rsid w:val="00727D64"/>
    <w:rsid w:val="00731256"/>
    <w:rsid w:val="007320BE"/>
    <w:rsid w:val="00737BDE"/>
    <w:rsid w:val="00741E38"/>
    <w:rsid w:val="00742CC6"/>
    <w:rsid w:val="00743145"/>
    <w:rsid w:val="00743727"/>
    <w:rsid w:val="00743BBE"/>
    <w:rsid w:val="00744558"/>
    <w:rsid w:val="00753B19"/>
    <w:rsid w:val="00757E90"/>
    <w:rsid w:val="00760D0F"/>
    <w:rsid w:val="007614A3"/>
    <w:rsid w:val="007615FB"/>
    <w:rsid w:val="00762964"/>
    <w:rsid w:val="00767A2B"/>
    <w:rsid w:val="007716AB"/>
    <w:rsid w:val="007720E9"/>
    <w:rsid w:val="00776E11"/>
    <w:rsid w:val="007823F2"/>
    <w:rsid w:val="00791DD6"/>
    <w:rsid w:val="0079327D"/>
    <w:rsid w:val="00793D37"/>
    <w:rsid w:val="00795509"/>
    <w:rsid w:val="00796AFE"/>
    <w:rsid w:val="00797902"/>
    <w:rsid w:val="007A416A"/>
    <w:rsid w:val="007A4FB1"/>
    <w:rsid w:val="007A7173"/>
    <w:rsid w:val="007A7FD1"/>
    <w:rsid w:val="007B3B49"/>
    <w:rsid w:val="007B412D"/>
    <w:rsid w:val="007B4356"/>
    <w:rsid w:val="007B4799"/>
    <w:rsid w:val="007C389C"/>
    <w:rsid w:val="007C4508"/>
    <w:rsid w:val="007C47DC"/>
    <w:rsid w:val="007C6708"/>
    <w:rsid w:val="007C6F2D"/>
    <w:rsid w:val="007C72D8"/>
    <w:rsid w:val="007C78E5"/>
    <w:rsid w:val="007D0F57"/>
    <w:rsid w:val="007D11C6"/>
    <w:rsid w:val="007E238D"/>
    <w:rsid w:val="007E2A8A"/>
    <w:rsid w:val="007F083E"/>
    <w:rsid w:val="007F0F63"/>
    <w:rsid w:val="007F17A2"/>
    <w:rsid w:val="007F1990"/>
    <w:rsid w:val="007F1CA9"/>
    <w:rsid w:val="0080166E"/>
    <w:rsid w:val="00804ADB"/>
    <w:rsid w:val="0081297D"/>
    <w:rsid w:val="0081525A"/>
    <w:rsid w:val="00815ECE"/>
    <w:rsid w:val="00817104"/>
    <w:rsid w:val="00817A02"/>
    <w:rsid w:val="0082103B"/>
    <w:rsid w:val="0082710B"/>
    <w:rsid w:val="00833477"/>
    <w:rsid w:val="00834C48"/>
    <w:rsid w:val="0083729A"/>
    <w:rsid w:val="00840197"/>
    <w:rsid w:val="008424A7"/>
    <w:rsid w:val="00842F28"/>
    <w:rsid w:val="00843003"/>
    <w:rsid w:val="008433FB"/>
    <w:rsid w:val="0084499A"/>
    <w:rsid w:val="0084626A"/>
    <w:rsid w:val="00850706"/>
    <w:rsid w:val="00860E21"/>
    <w:rsid w:val="008614BD"/>
    <w:rsid w:val="00863FF3"/>
    <w:rsid w:val="00875D08"/>
    <w:rsid w:val="00884B1A"/>
    <w:rsid w:val="0088670D"/>
    <w:rsid w:val="008876FD"/>
    <w:rsid w:val="0088790F"/>
    <w:rsid w:val="00892C4F"/>
    <w:rsid w:val="00895EE6"/>
    <w:rsid w:val="008A0D87"/>
    <w:rsid w:val="008A230C"/>
    <w:rsid w:val="008A2F16"/>
    <w:rsid w:val="008A451C"/>
    <w:rsid w:val="008A5491"/>
    <w:rsid w:val="008B1E86"/>
    <w:rsid w:val="008B42E4"/>
    <w:rsid w:val="008B5B56"/>
    <w:rsid w:val="008B7CEF"/>
    <w:rsid w:val="008C521D"/>
    <w:rsid w:val="008C5B92"/>
    <w:rsid w:val="008C7A22"/>
    <w:rsid w:val="008D2075"/>
    <w:rsid w:val="008D4616"/>
    <w:rsid w:val="008D5D84"/>
    <w:rsid w:val="008D6639"/>
    <w:rsid w:val="008E0879"/>
    <w:rsid w:val="008E3E70"/>
    <w:rsid w:val="008E6397"/>
    <w:rsid w:val="008E6F2E"/>
    <w:rsid w:val="00925C22"/>
    <w:rsid w:val="00931780"/>
    <w:rsid w:val="00932BEA"/>
    <w:rsid w:val="00937459"/>
    <w:rsid w:val="00944411"/>
    <w:rsid w:val="009470F0"/>
    <w:rsid w:val="00950177"/>
    <w:rsid w:val="009517D3"/>
    <w:rsid w:val="00951BC7"/>
    <w:rsid w:val="0095217C"/>
    <w:rsid w:val="00955067"/>
    <w:rsid w:val="0095532F"/>
    <w:rsid w:val="0095611D"/>
    <w:rsid w:val="00957D40"/>
    <w:rsid w:val="00960179"/>
    <w:rsid w:val="009608EB"/>
    <w:rsid w:val="0096290B"/>
    <w:rsid w:val="009701C8"/>
    <w:rsid w:val="009745C3"/>
    <w:rsid w:val="00977B0E"/>
    <w:rsid w:val="00980FD8"/>
    <w:rsid w:val="009834F5"/>
    <w:rsid w:val="009901A1"/>
    <w:rsid w:val="009909FE"/>
    <w:rsid w:val="00990F30"/>
    <w:rsid w:val="00990FE3"/>
    <w:rsid w:val="009958A9"/>
    <w:rsid w:val="00996AA1"/>
    <w:rsid w:val="009A1826"/>
    <w:rsid w:val="009A2556"/>
    <w:rsid w:val="009A3938"/>
    <w:rsid w:val="009B57BF"/>
    <w:rsid w:val="009C04B2"/>
    <w:rsid w:val="009C2071"/>
    <w:rsid w:val="009C3481"/>
    <w:rsid w:val="009C5050"/>
    <w:rsid w:val="009D10CD"/>
    <w:rsid w:val="009D2DB2"/>
    <w:rsid w:val="009D2FDF"/>
    <w:rsid w:val="009D4D33"/>
    <w:rsid w:val="009D74FA"/>
    <w:rsid w:val="009E5ADF"/>
    <w:rsid w:val="009E65FC"/>
    <w:rsid w:val="009E7E7A"/>
    <w:rsid w:val="009F1684"/>
    <w:rsid w:val="009F6AE5"/>
    <w:rsid w:val="00A043C3"/>
    <w:rsid w:val="00A07CB6"/>
    <w:rsid w:val="00A10196"/>
    <w:rsid w:val="00A10C91"/>
    <w:rsid w:val="00A13B23"/>
    <w:rsid w:val="00A162E7"/>
    <w:rsid w:val="00A21CB8"/>
    <w:rsid w:val="00A220F2"/>
    <w:rsid w:val="00A306AA"/>
    <w:rsid w:val="00A32208"/>
    <w:rsid w:val="00A353B6"/>
    <w:rsid w:val="00A402F0"/>
    <w:rsid w:val="00A41EA3"/>
    <w:rsid w:val="00A41FA5"/>
    <w:rsid w:val="00A45F99"/>
    <w:rsid w:val="00A464B5"/>
    <w:rsid w:val="00A4777F"/>
    <w:rsid w:val="00A54007"/>
    <w:rsid w:val="00A55B44"/>
    <w:rsid w:val="00A6334B"/>
    <w:rsid w:val="00A64B3D"/>
    <w:rsid w:val="00A80CAA"/>
    <w:rsid w:val="00A91218"/>
    <w:rsid w:val="00A9124B"/>
    <w:rsid w:val="00A915AC"/>
    <w:rsid w:val="00A960DD"/>
    <w:rsid w:val="00AA3309"/>
    <w:rsid w:val="00AA539F"/>
    <w:rsid w:val="00AA547B"/>
    <w:rsid w:val="00AA67C7"/>
    <w:rsid w:val="00AA68C8"/>
    <w:rsid w:val="00AB1623"/>
    <w:rsid w:val="00AB1BFD"/>
    <w:rsid w:val="00AB2E8E"/>
    <w:rsid w:val="00AC192D"/>
    <w:rsid w:val="00AC31E0"/>
    <w:rsid w:val="00AC4CC9"/>
    <w:rsid w:val="00AC53AF"/>
    <w:rsid w:val="00AC5B64"/>
    <w:rsid w:val="00AC5D7C"/>
    <w:rsid w:val="00AC6D44"/>
    <w:rsid w:val="00AC74CB"/>
    <w:rsid w:val="00AD0757"/>
    <w:rsid w:val="00AD3C58"/>
    <w:rsid w:val="00AD4160"/>
    <w:rsid w:val="00AD622F"/>
    <w:rsid w:val="00AD7FCA"/>
    <w:rsid w:val="00AE1404"/>
    <w:rsid w:val="00AE16C4"/>
    <w:rsid w:val="00AE1BAB"/>
    <w:rsid w:val="00AE2D47"/>
    <w:rsid w:val="00AE4635"/>
    <w:rsid w:val="00AF2E29"/>
    <w:rsid w:val="00B00DD6"/>
    <w:rsid w:val="00B046DB"/>
    <w:rsid w:val="00B05545"/>
    <w:rsid w:val="00B06166"/>
    <w:rsid w:val="00B061CD"/>
    <w:rsid w:val="00B137B9"/>
    <w:rsid w:val="00B16EB8"/>
    <w:rsid w:val="00B16FD1"/>
    <w:rsid w:val="00B17355"/>
    <w:rsid w:val="00B20FF2"/>
    <w:rsid w:val="00B2174E"/>
    <w:rsid w:val="00B30BD2"/>
    <w:rsid w:val="00B3121C"/>
    <w:rsid w:val="00B3286A"/>
    <w:rsid w:val="00B374F6"/>
    <w:rsid w:val="00B438DB"/>
    <w:rsid w:val="00B45885"/>
    <w:rsid w:val="00B46430"/>
    <w:rsid w:val="00B514AB"/>
    <w:rsid w:val="00B51F25"/>
    <w:rsid w:val="00B558B3"/>
    <w:rsid w:val="00B559FF"/>
    <w:rsid w:val="00B601F4"/>
    <w:rsid w:val="00B62C94"/>
    <w:rsid w:val="00B63AF6"/>
    <w:rsid w:val="00B65FF9"/>
    <w:rsid w:val="00B66092"/>
    <w:rsid w:val="00B742FE"/>
    <w:rsid w:val="00B74E20"/>
    <w:rsid w:val="00B760DE"/>
    <w:rsid w:val="00B87B28"/>
    <w:rsid w:val="00B93BA9"/>
    <w:rsid w:val="00B9612D"/>
    <w:rsid w:val="00BA2179"/>
    <w:rsid w:val="00BA5AE2"/>
    <w:rsid w:val="00BA6086"/>
    <w:rsid w:val="00BB500E"/>
    <w:rsid w:val="00BC00E1"/>
    <w:rsid w:val="00BC02B5"/>
    <w:rsid w:val="00BC1EF0"/>
    <w:rsid w:val="00BC2FD4"/>
    <w:rsid w:val="00BD1A38"/>
    <w:rsid w:val="00BE0361"/>
    <w:rsid w:val="00BE404A"/>
    <w:rsid w:val="00BE523A"/>
    <w:rsid w:val="00BE6639"/>
    <w:rsid w:val="00BE669C"/>
    <w:rsid w:val="00BE7603"/>
    <w:rsid w:val="00BF1DAF"/>
    <w:rsid w:val="00BF41A7"/>
    <w:rsid w:val="00C024BA"/>
    <w:rsid w:val="00C0547E"/>
    <w:rsid w:val="00C055FF"/>
    <w:rsid w:val="00C06B72"/>
    <w:rsid w:val="00C07A8D"/>
    <w:rsid w:val="00C122C8"/>
    <w:rsid w:val="00C12A82"/>
    <w:rsid w:val="00C21C8A"/>
    <w:rsid w:val="00C226AE"/>
    <w:rsid w:val="00C255FA"/>
    <w:rsid w:val="00C2592E"/>
    <w:rsid w:val="00C3287D"/>
    <w:rsid w:val="00C33823"/>
    <w:rsid w:val="00C3684A"/>
    <w:rsid w:val="00C403B3"/>
    <w:rsid w:val="00C412BB"/>
    <w:rsid w:val="00C456B6"/>
    <w:rsid w:val="00C5037F"/>
    <w:rsid w:val="00C6036D"/>
    <w:rsid w:val="00C62C6E"/>
    <w:rsid w:val="00C63A39"/>
    <w:rsid w:val="00C65E6B"/>
    <w:rsid w:val="00C65EB4"/>
    <w:rsid w:val="00C718D6"/>
    <w:rsid w:val="00C71D9D"/>
    <w:rsid w:val="00C728A8"/>
    <w:rsid w:val="00C730EB"/>
    <w:rsid w:val="00C740DC"/>
    <w:rsid w:val="00C7484F"/>
    <w:rsid w:val="00C76293"/>
    <w:rsid w:val="00C768EA"/>
    <w:rsid w:val="00C77EA3"/>
    <w:rsid w:val="00C77FDC"/>
    <w:rsid w:val="00C80FAE"/>
    <w:rsid w:val="00C8240B"/>
    <w:rsid w:val="00C849C5"/>
    <w:rsid w:val="00C87530"/>
    <w:rsid w:val="00C96DAA"/>
    <w:rsid w:val="00CA2CE9"/>
    <w:rsid w:val="00CA3CB4"/>
    <w:rsid w:val="00CA63B1"/>
    <w:rsid w:val="00CB1A63"/>
    <w:rsid w:val="00CB4081"/>
    <w:rsid w:val="00CC0102"/>
    <w:rsid w:val="00CC040B"/>
    <w:rsid w:val="00CC3B1D"/>
    <w:rsid w:val="00CC4243"/>
    <w:rsid w:val="00CC712A"/>
    <w:rsid w:val="00CC7363"/>
    <w:rsid w:val="00CC79DB"/>
    <w:rsid w:val="00CC79EC"/>
    <w:rsid w:val="00CD2813"/>
    <w:rsid w:val="00CD2CB5"/>
    <w:rsid w:val="00CD5961"/>
    <w:rsid w:val="00CD6D3A"/>
    <w:rsid w:val="00CE33C1"/>
    <w:rsid w:val="00CE361C"/>
    <w:rsid w:val="00CE4492"/>
    <w:rsid w:val="00CE5C84"/>
    <w:rsid w:val="00CF0B88"/>
    <w:rsid w:val="00CF211C"/>
    <w:rsid w:val="00CF40EB"/>
    <w:rsid w:val="00CF4A6F"/>
    <w:rsid w:val="00CF7E2E"/>
    <w:rsid w:val="00D007A6"/>
    <w:rsid w:val="00D05D9B"/>
    <w:rsid w:val="00D06532"/>
    <w:rsid w:val="00D14E02"/>
    <w:rsid w:val="00D25F8D"/>
    <w:rsid w:val="00D37AEB"/>
    <w:rsid w:val="00D37E91"/>
    <w:rsid w:val="00D424CE"/>
    <w:rsid w:val="00D46E68"/>
    <w:rsid w:val="00D47FA0"/>
    <w:rsid w:val="00D52C30"/>
    <w:rsid w:val="00D54EAC"/>
    <w:rsid w:val="00D6370F"/>
    <w:rsid w:val="00D7175C"/>
    <w:rsid w:val="00D773FD"/>
    <w:rsid w:val="00D77FD5"/>
    <w:rsid w:val="00D801BB"/>
    <w:rsid w:val="00D82260"/>
    <w:rsid w:val="00D932A7"/>
    <w:rsid w:val="00D94CA9"/>
    <w:rsid w:val="00D95007"/>
    <w:rsid w:val="00D95B1A"/>
    <w:rsid w:val="00D95CFF"/>
    <w:rsid w:val="00DA1D2E"/>
    <w:rsid w:val="00DA6D80"/>
    <w:rsid w:val="00DB112F"/>
    <w:rsid w:val="00DB2993"/>
    <w:rsid w:val="00DB3240"/>
    <w:rsid w:val="00DB45EA"/>
    <w:rsid w:val="00DB57F1"/>
    <w:rsid w:val="00DB7717"/>
    <w:rsid w:val="00DB7F4E"/>
    <w:rsid w:val="00DB7F90"/>
    <w:rsid w:val="00DC00D8"/>
    <w:rsid w:val="00DC74DA"/>
    <w:rsid w:val="00DD38E4"/>
    <w:rsid w:val="00DE0D91"/>
    <w:rsid w:val="00DE1628"/>
    <w:rsid w:val="00DE56ED"/>
    <w:rsid w:val="00DE5EB1"/>
    <w:rsid w:val="00DE637A"/>
    <w:rsid w:val="00DF010C"/>
    <w:rsid w:val="00DF1468"/>
    <w:rsid w:val="00DF1A98"/>
    <w:rsid w:val="00DF2321"/>
    <w:rsid w:val="00DF24C1"/>
    <w:rsid w:val="00DF4504"/>
    <w:rsid w:val="00DF49F2"/>
    <w:rsid w:val="00DF5D93"/>
    <w:rsid w:val="00E00803"/>
    <w:rsid w:val="00E02948"/>
    <w:rsid w:val="00E03E35"/>
    <w:rsid w:val="00E07B1C"/>
    <w:rsid w:val="00E1314E"/>
    <w:rsid w:val="00E21263"/>
    <w:rsid w:val="00E254D5"/>
    <w:rsid w:val="00E3493F"/>
    <w:rsid w:val="00E40D50"/>
    <w:rsid w:val="00E4371D"/>
    <w:rsid w:val="00E43EB6"/>
    <w:rsid w:val="00E45B83"/>
    <w:rsid w:val="00E46BFA"/>
    <w:rsid w:val="00E52F3F"/>
    <w:rsid w:val="00E534BA"/>
    <w:rsid w:val="00E55F7C"/>
    <w:rsid w:val="00E5601A"/>
    <w:rsid w:val="00E56A37"/>
    <w:rsid w:val="00E5797C"/>
    <w:rsid w:val="00E60703"/>
    <w:rsid w:val="00E64EB2"/>
    <w:rsid w:val="00E67C38"/>
    <w:rsid w:val="00E7157E"/>
    <w:rsid w:val="00E814E5"/>
    <w:rsid w:val="00E8192F"/>
    <w:rsid w:val="00E846EB"/>
    <w:rsid w:val="00E85F49"/>
    <w:rsid w:val="00E90F48"/>
    <w:rsid w:val="00E92ECB"/>
    <w:rsid w:val="00E92ED9"/>
    <w:rsid w:val="00EB113A"/>
    <w:rsid w:val="00EC3021"/>
    <w:rsid w:val="00EC5F26"/>
    <w:rsid w:val="00EC6F27"/>
    <w:rsid w:val="00ED1CA1"/>
    <w:rsid w:val="00ED2421"/>
    <w:rsid w:val="00ED2A34"/>
    <w:rsid w:val="00ED4E09"/>
    <w:rsid w:val="00EE5FD8"/>
    <w:rsid w:val="00EE60D6"/>
    <w:rsid w:val="00EF0882"/>
    <w:rsid w:val="00EF194A"/>
    <w:rsid w:val="00EF30CF"/>
    <w:rsid w:val="00EF3C55"/>
    <w:rsid w:val="00EF485D"/>
    <w:rsid w:val="00EF6311"/>
    <w:rsid w:val="00F00F11"/>
    <w:rsid w:val="00F026A8"/>
    <w:rsid w:val="00F02EA0"/>
    <w:rsid w:val="00F107A2"/>
    <w:rsid w:val="00F135EE"/>
    <w:rsid w:val="00F14B35"/>
    <w:rsid w:val="00F1517A"/>
    <w:rsid w:val="00F172EE"/>
    <w:rsid w:val="00F22156"/>
    <w:rsid w:val="00F27951"/>
    <w:rsid w:val="00F309FE"/>
    <w:rsid w:val="00F32A9B"/>
    <w:rsid w:val="00F437A5"/>
    <w:rsid w:val="00F43A5B"/>
    <w:rsid w:val="00F442CA"/>
    <w:rsid w:val="00F44B97"/>
    <w:rsid w:val="00F5084A"/>
    <w:rsid w:val="00F52B91"/>
    <w:rsid w:val="00F54033"/>
    <w:rsid w:val="00F57D71"/>
    <w:rsid w:val="00F607C9"/>
    <w:rsid w:val="00F76207"/>
    <w:rsid w:val="00F77688"/>
    <w:rsid w:val="00F7796F"/>
    <w:rsid w:val="00F81283"/>
    <w:rsid w:val="00F8654F"/>
    <w:rsid w:val="00F94BBE"/>
    <w:rsid w:val="00FA0BA9"/>
    <w:rsid w:val="00FA3D9E"/>
    <w:rsid w:val="00FA5FAC"/>
    <w:rsid w:val="00FB3DFA"/>
    <w:rsid w:val="00FB506C"/>
    <w:rsid w:val="00FB5DC7"/>
    <w:rsid w:val="00FB632F"/>
    <w:rsid w:val="00FC51D0"/>
    <w:rsid w:val="00FC6A86"/>
    <w:rsid w:val="00FC7570"/>
    <w:rsid w:val="00FD24B4"/>
    <w:rsid w:val="00FD7CD7"/>
    <w:rsid w:val="00FE0630"/>
    <w:rsid w:val="00FE1E60"/>
    <w:rsid w:val="00FF3136"/>
    <w:rsid w:val="00FF3682"/>
    <w:rsid w:val="00FF44D1"/>
    <w:rsid w:val="00FF5AC2"/>
    <w:rsid w:val="00FF7FAD"/>
    <w:rsid w:val="03806F86"/>
    <w:rsid w:val="070752C8"/>
    <w:rsid w:val="0A7964DD"/>
    <w:rsid w:val="0ED96911"/>
    <w:rsid w:val="108A4FA0"/>
    <w:rsid w:val="11823EC9"/>
    <w:rsid w:val="1292638E"/>
    <w:rsid w:val="170D2487"/>
    <w:rsid w:val="1A815666"/>
    <w:rsid w:val="1B35635C"/>
    <w:rsid w:val="1C3F7586"/>
    <w:rsid w:val="1F0C571A"/>
    <w:rsid w:val="208A2D9A"/>
    <w:rsid w:val="22BC4092"/>
    <w:rsid w:val="241C77B7"/>
    <w:rsid w:val="253B27E5"/>
    <w:rsid w:val="25BA7C7E"/>
    <w:rsid w:val="25F2108A"/>
    <w:rsid w:val="26CD1C32"/>
    <w:rsid w:val="28BC04EA"/>
    <w:rsid w:val="295D104C"/>
    <w:rsid w:val="2B8A6344"/>
    <w:rsid w:val="2D2840F2"/>
    <w:rsid w:val="2DCB7498"/>
    <w:rsid w:val="2E36630F"/>
    <w:rsid w:val="31387FCD"/>
    <w:rsid w:val="31F462C5"/>
    <w:rsid w:val="31F75DB5"/>
    <w:rsid w:val="32C66F8A"/>
    <w:rsid w:val="33811345"/>
    <w:rsid w:val="34FD36E3"/>
    <w:rsid w:val="362F527E"/>
    <w:rsid w:val="3747333B"/>
    <w:rsid w:val="37781747"/>
    <w:rsid w:val="396E49B7"/>
    <w:rsid w:val="3B6C511E"/>
    <w:rsid w:val="3B7F12F6"/>
    <w:rsid w:val="3EF142B8"/>
    <w:rsid w:val="41605725"/>
    <w:rsid w:val="41AA4BF2"/>
    <w:rsid w:val="421502BE"/>
    <w:rsid w:val="44BD4C3D"/>
    <w:rsid w:val="44CB7266"/>
    <w:rsid w:val="45A02594"/>
    <w:rsid w:val="4B951B65"/>
    <w:rsid w:val="53BF0089"/>
    <w:rsid w:val="56CA615F"/>
    <w:rsid w:val="5739706C"/>
    <w:rsid w:val="5CD912BA"/>
    <w:rsid w:val="5EDC687A"/>
    <w:rsid w:val="5F950838"/>
    <w:rsid w:val="604F07E6"/>
    <w:rsid w:val="606C3347"/>
    <w:rsid w:val="629D4B85"/>
    <w:rsid w:val="63533494"/>
    <w:rsid w:val="66AF21DF"/>
    <w:rsid w:val="679F4002"/>
    <w:rsid w:val="6AA06A0F"/>
    <w:rsid w:val="6B8D307C"/>
    <w:rsid w:val="6CFE0B01"/>
    <w:rsid w:val="6F814935"/>
    <w:rsid w:val="6FC22F83"/>
    <w:rsid w:val="702E0619"/>
    <w:rsid w:val="70566CE4"/>
    <w:rsid w:val="70B45C5E"/>
    <w:rsid w:val="70DF5DB7"/>
    <w:rsid w:val="70EB650A"/>
    <w:rsid w:val="71754026"/>
    <w:rsid w:val="75D237F5"/>
    <w:rsid w:val="76C112EF"/>
    <w:rsid w:val="76F8372F"/>
    <w:rsid w:val="772A140E"/>
    <w:rsid w:val="7A044199"/>
    <w:rsid w:val="7C6333F8"/>
    <w:rsid w:val="7E0724A9"/>
    <w:rsid w:val="7F455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 w:hAnsi="仿宋" w:eastAsia="仿宋" w:cstheme="minorBidi"/>
      <w:kern w:val="2"/>
      <w:sz w:val="24"/>
      <w:szCs w:val="21"/>
      <w:lang w:val="en-US" w:eastAsia="zh-CN" w:bidi="ar-SA"/>
    </w:rPr>
  </w:style>
  <w:style w:type="paragraph" w:styleId="3">
    <w:name w:val="heading 1"/>
    <w:basedOn w:val="1"/>
    <w:next w:val="1"/>
    <w:link w:val="44"/>
    <w:qFormat/>
    <w:uiPriority w:val="0"/>
    <w:pPr>
      <w:numPr>
        <w:ilvl w:val="0"/>
        <w:numId w:val="1"/>
      </w:numPr>
      <w:spacing w:line="240" w:lineRule="auto"/>
      <w:ind w:firstLineChars="0"/>
      <w:jc w:val="center"/>
      <w:outlineLvl w:val="0"/>
    </w:pPr>
    <w:rPr>
      <w:rFonts w:eastAsia="黑体"/>
      <w:b/>
      <w:kern w:val="44"/>
      <w:sz w:val="32"/>
      <w:szCs w:val="48"/>
    </w:rPr>
  </w:style>
  <w:style w:type="paragraph" w:styleId="4">
    <w:name w:val="heading 2"/>
    <w:basedOn w:val="1"/>
    <w:next w:val="1"/>
    <w:link w:val="40"/>
    <w:qFormat/>
    <w:uiPriority w:val="9"/>
    <w:pPr>
      <w:keepNext/>
      <w:keepLines/>
      <w:numPr>
        <w:ilvl w:val="0"/>
        <w:numId w:val="2"/>
      </w:numPr>
      <w:ind w:firstLineChars="0"/>
      <w:jc w:val="left"/>
      <w:outlineLvl w:val="1"/>
    </w:pPr>
    <w:rPr>
      <w:rFonts w:ascii="黑体" w:hAnsi="黑体" w:eastAsia="黑体" w:cstheme="majorBidi"/>
      <w:bCs/>
      <w:sz w:val="28"/>
      <w:szCs w:val="32"/>
    </w:rPr>
  </w:style>
  <w:style w:type="paragraph" w:styleId="5">
    <w:name w:val="heading 3"/>
    <w:basedOn w:val="1"/>
    <w:next w:val="1"/>
    <w:link w:val="41"/>
    <w:unhideWhenUsed/>
    <w:qFormat/>
    <w:uiPriority w:val="9"/>
    <w:pPr>
      <w:keepLines/>
      <w:numPr>
        <w:ilvl w:val="2"/>
        <w:numId w:val="1"/>
      </w:numPr>
      <w:ind w:firstLine="0" w:firstLineChars="0"/>
      <w:outlineLvl w:val="2"/>
    </w:pPr>
    <w:rPr>
      <w:b/>
      <w:bCs/>
      <w:szCs w:val="32"/>
    </w:rPr>
  </w:style>
  <w:style w:type="paragraph" w:styleId="6">
    <w:name w:val="heading 4"/>
    <w:basedOn w:val="1"/>
    <w:next w:val="1"/>
    <w:link w:val="45"/>
    <w:unhideWhenUsed/>
    <w:qFormat/>
    <w:uiPriority w:val="0"/>
    <w:pPr>
      <w:numPr>
        <w:ilvl w:val="3"/>
        <w:numId w:val="1"/>
      </w:numPr>
      <w:ind w:firstLineChars="0"/>
      <w:outlineLvl w:val="3"/>
    </w:pPr>
    <w:rPr>
      <w:rFonts w:cstheme="majorBidi"/>
      <w:bCs/>
      <w:szCs w:val="28"/>
    </w:rPr>
  </w:style>
  <w:style w:type="paragraph" w:styleId="7">
    <w:name w:val="heading 5"/>
    <w:basedOn w:val="1"/>
    <w:next w:val="1"/>
    <w:link w:val="46"/>
    <w:unhideWhenUsed/>
    <w:qFormat/>
    <w:uiPriority w:val="9"/>
    <w:pPr>
      <w:numPr>
        <w:ilvl w:val="4"/>
        <w:numId w:val="1"/>
      </w:numPr>
      <w:ind w:firstLineChars="0"/>
      <w:jc w:val="left"/>
      <w:outlineLvl w:val="4"/>
    </w:pPr>
    <w:rPr>
      <w:bCs/>
      <w:szCs w:val="28"/>
    </w:rPr>
  </w:style>
  <w:style w:type="paragraph" w:styleId="8">
    <w:name w:val="heading 6"/>
    <w:basedOn w:val="1"/>
    <w:next w:val="1"/>
    <w:link w:val="101"/>
    <w:semiHidden/>
    <w:unhideWhenUsed/>
    <w:qFormat/>
    <w:uiPriority w:val="9"/>
    <w:pPr>
      <w:keepNext/>
      <w:keepLines/>
      <w:spacing w:before="240" w:after="64" w:line="320" w:lineRule="auto"/>
      <w:outlineLvl w:val="5"/>
    </w:pPr>
    <w:rPr>
      <w:rFonts w:asciiTheme="majorHAnsi" w:hAnsiTheme="majorHAnsi" w:eastAsiaTheme="majorEastAsia" w:cstheme="majorBidi"/>
      <w:b/>
      <w:bCs/>
      <w:szCs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7"/>
    <w:semiHidden/>
    <w:unhideWhenUsed/>
    <w:qFormat/>
    <w:uiPriority w:val="99"/>
    <w:pPr>
      <w:spacing w:after="120"/>
    </w:pPr>
  </w:style>
  <w:style w:type="paragraph" w:styleId="9">
    <w:name w:val="toc 7"/>
    <w:basedOn w:val="1"/>
    <w:next w:val="1"/>
    <w:unhideWhenUsed/>
    <w:qFormat/>
    <w:uiPriority w:val="39"/>
    <w:pPr>
      <w:ind w:left="2520" w:leftChars="1200"/>
    </w:pPr>
    <w:rPr>
      <w:rFonts w:ascii="Calibri" w:hAnsi="Calibri" w:eastAsia="宋体" w:cs="Times New Roman"/>
      <w:szCs w:val="22"/>
    </w:rPr>
  </w:style>
  <w:style w:type="paragraph" w:styleId="10">
    <w:name w:val="Normal Indent"/>
    <w:basedOn w:val="1"/>
    <w:link w:val="73"/>
    <w:qFormat/>
    <w:uiPriority w:val="0"/>
    <w:pPr>
      <w:ind w:firstLine="420"/>
    </w:pPr>
    <w:rPr>
      <w:rFonts w:ascii="Times New Roman" w:hAnsi="Times New Roman" w:eastAsia="宋体" w:cs="Times New Roman"/>
      <w:szCs w:val="24"/>
    </w:rPr>
  </w:style>
  <w:style w:type="paragraph" w:styleId="11">
    <w:name w:val="annotation text"/>
    <w:basedOn w:val="1"/>
    <w:link w:val="53"/>
    <w:unhideWhenUsed/>
    <w:qFormat/>
    <w:uiPriority w:val="0"/>
    <w:pPr>
      <w:jc w:val="left"/>
    </w:pPr>
  </w:style>
  <w:style w:type="paragraph" w:styleId="12">
    <w:name w:val="Body Text Indent"/>
    <w:basedOn w:val="1"/>
    <w:link w:val="64"/>
    <w:unhideWhenUsed/>
    <w:qFormat/>
    <w:uiPriority w:val="0"/>
    <w:pPr>
      <w:spacing w:after="120"/>
      <w:ind w:left="420" w:leftChars="200"/>
    </w:pPr>
  </w:style>
  <w:style w:type="paragraph" w:styleId="13">
    <w:name w:val="toc 5"/>
    <w:basedOn w:val="1"/>
    <w:next w:val="1"/>
    <w:unhideWhenUsed/>
    <w:qFormat/>
    <w:uiPriority w:val="39"/>
    <w:pPr>
      <w:ind w:left="1680" w:leftChars="800"/>
    </w:pPr>
    <w:rPr>
      <w:rFonts w:ascii="Calibri" w:hAnsi="Calibri" w:eastAsia="宋体" w:cs="Times New Roman"/>
      <w:szCs w:val="22"/>
    </w:rPr>
  </w:style>
  <w:style w:type="paragraph" w:styleId="14">
    <w:name w:val="toc 3"/>
    <w:basedOn w:val="1"/>
    <w:next w:val="1"/>
    <w:qFormat/>
    <w:uiPriority w:val="39"/>
    <w:pPr>
      <w:spacing w:line="240" w:lineRule="auto"/>
      <w:ind w:left="400" w:leftChars="400" w:firstLine="0" w:firstLineChars="0"/>
    </w:pPr>
    <w:rPr>
      <w:rFonts w:ascii="Times New Roman" w:hAnsi="Times New Roman" w:eastAsia="楷体" w:cs="Times New Roman"/>
      <w:szCs w:val="24"/>
    </w:rPr>
  </w:style>
  <w:style w:type="paragraph" w:styleId="15">
    <w:name w:val="Plain Text"/>
    <w:basedOn w:val="1"/>
    <w:link w:val="60"/>
    <w:qFormat/>
    <w:uiPriority w:val="0"/>
    <w:pPr>
      <w:autoSpaceDE w:val="0"/>
      <w:autoSpaceDN w:val="0"/>
      <w:adjustRightInd w:val="0"/>
    </w:pPr>
    <w:rPr>
      <w:rFonts w:ascii="宋体" w:hAnsi="Tms Rmn" w:eastAsia="宋体"/>
      <w:kern w:val="0"/>
      <w:szCs w:val="20"/>
    </w:rPr>
  </w:style>
  <w:style w:type="paragraph" w:styleId="16">
    <w:name w:val="toc 8"/>
    <w:basedOn w:val="1"/>
    <w:next w:val="1"/>
    <w:unhideWhenUsed/>
    <w:qFormat/>
    <w:uiPriority w:val="39"/>
    <w:pPr>
      <w:ind w:left="2940" w:leftChars="1400"/>
    </w:pPr>
    <w:rPr>
      <w:rFonts w:ascii="Calibri" w:hAnsi="Calibri" w:eastAsia="宋体" w:cs="Times New Roman"/>
      <w:szCs w:val="22"/>
    </w:rPr>
  </w:style>
  <w:style w:type="paragraph" w:styleId="17">
    <w:name w:val="Body Text Indent 2"/>
    <w:basedOn w:val="1"/>
    <w:link w:val="65"/>
    <w:qFormat/>
    <w:uiPriority w:val="0"/>
    <w:pPr>
      <w:spacing w:after="120" w:line="480" w:lineRule="auto"/>
      <w:ind w:left="420" w:leftChars="200"/>
    </w:pPr>
    <w:rPr>
      <w:rFonts w:ascii="Times New Roman" w:hAnsi="Times New Roman" w:eastAsia="宋体" w:cs="Times New Roman"/>
      <w:szCs w:val="24"/>
    </w:rPr>
  </w:style>
  <w:style w:type="paragraph" w:styleId="18">
    <w:name w:val="Balloon Text"/>
    <w:basedOn w:val="1"/>
    <w:link w:val="48"/>
    <w:semiHidden/>
    <w:unhideWhenUsed/>
    <w:qFormat/>
    <w:uiPriority w:val="0"/>
    <w:rPr>
      <w:sz w:val="18"/>
      <w:szCs w:val="18"/>
    </w:rPr>
  </w:style>
  <w:style w:type="paragraph" w:styleId="19">
    <w:name w:val="footer"/>
    <w:basedOn w:val="1"/>
    <w:link w:val="50"/>
    <w:unhideWhenUsed/>
    <w:qFormat/>
    <w:uiPriority w:val="99"/>
    <w:pPr>
      <w:tabs>
        <w:tab w:val="center" w:pos="4153"/>
        <w:tab w:val="right" w:pos="8306"/>
      </w:tabs>
      <w:snapToGrid w:val="0"/>
      <w:jc w:val="left"/>
    </w:pPr>
    <w:rPr>
      <w:sz w:val="18"/>
      <w:szCs w:val="18"/>
    </w:rPr>
  </w:style>
  <w:style w:type="paragraph" w:styleId="20">
    <w:name w:val="header"/>
    <w:basedOn w:val="1"/>
    <w:link w:val="49"/>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line="240" w:lineRule="auto"/>
      <w:ind w:firstLine="0" w:firstLineChars="0"/>
    </w:pPr>
    <w:rPr>
      <w:rFonts w:ascii="Times New Roman" w:hAnsi="Times New Roman" w:eastAsia="楷体" w:cs="Times New Roman"/>
      <w:b/>
      <w:szCs w:val="24"/>
    </w:rPr>
  </w:style>
  <w:style w:type="paragraph" w:styleId="22">
    <w:name w:val="toc 4"/>
    <w:basedOn w:val="1"/>
    <w:next w:val="1"/>
    <w:unhideWhenUsed/>
    <w:qFormat/>
    <w:uiPriority w:val="39"/>
    <w:pPr>
      <w:ind w:left="1260" w:leftChars="600"/>
    </w:pPr>
    <w:rPr>
      <w:rFonts w:ascii="Calibri" w:hAnsi="Calibri" w:eastAsia="宋体" w:cs="Times New Roman"/>
      <w:szCs w:val="22"/>
    </w:rPr>
  </w:style>
  <w:style w:type="paragraph" w:styleId="23">
    <w:name w:val="Subtitle"/>
    <w:basedOn w:val="1"/>
    <w:next w:val="1"/>
    <w:link w:val="66"/>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24">
    <w:name w:val="toc 6"/>
    <w:basedOn w:val="1"/>
    <w:next w:val="1"/>
    <w:unhideWhenUsed/>
    <w:qFormat/>
    <w:uiPriority w:val="39"/>
    <w:pPr>
      <w:ind w:left="2100" w:leftChars="1000"/>
    </w:pPr>
    <w:rPr>
      <w:rFonts w:ascii="Calibri" w:hAnsi="Calibri" w:eastAsia="宋体" w:cs="Times New Roman"/>
      <w:szCs w:val="22"/>
    </w:rPr>
  </w:style>
  <w:style w:type="paragraph" w:styleId="25">
    <w:name w:val="Body Text Indent 3"/>
    <w:basedOn w:val="1"/>
    <w:link w:val="55"/>
    <w:qFormat/>
    <w:uiPriority w:val="0"/>
    <w:pPr>
      <w:spacing w:after="120"/>
      <w:ind w:left="420" w:leftChars="200"/>
    </w:pPr>
    <w:rPr>
      <w:rFonts w:ascii="Times New Roman" w:hAnsi="Times New Roman" w:eastAsia="宋体"/>
      <w:sz w:val="16"/>
      <w:szCs w:val="16"/>
    </w:rPr>
  </w:style>
  <w:style w:type="paragraph" w:styleId="26">
    <w:name w:val="toc 2"/>
    <w:basedOn w:val="1"/>
    <w:next w:val="1"/>
    <w:qFormat/>
    <w:uiPriority w:val="39"/>
    <w:pPr>
      <w:spacing w:line="240" w:lineRule="auto"/>
      <w:ind w:left="200" w:leftChars="200" w:firstLine="0" w:firstLineChars="0"/>
    </w:pPr>
    <w:rPr>
      <w:rFonts w:ascii="Times New Roman" w:hAnsi="Times New Roman" w:eastAsia="楷体" w:cs="Times New Roman"/>
      <w:szCs w:val="24"/>
    </w:rPr>
  </w:style>
  <w:style w:type="paragraph" w:styleId="27">
    <w:name w:val="toc 9"/>
    <w:basedOn w:val="1"/>
    <w:next w:val="1"/>
    <w:unhideWhenUsed/>
    <w:qFormat/>
    <w:uiPriority w:val="39"/>
    <w:pPr>
      <w:ind w:left="3360" w:leftChars="1600"/>
    </w:pPr>
    <w:rPr>
      <w:rFonts w:ascii="Calibri" w:hAnsi="Calibri" w:eastAsia="宋体" w:cs="Times New Roman"/>
      <w:szCs w:val="22"/>
    </w:rPr>
  </w:style>
  <w:style w:type="paragraph" w:styleId="28">
    <w:name w:val="Normal (Web)"/>
    <w:basedOn w:val="1"/>
    <w:qFormat/>
    <w:uiPriority w:val="99"/>
    <w:pPr>
      <w:widowControl/>
      <w:spacing w:before="100" w:beforeAutospacing="1" w:after="100" w:afterAutospacing="1"/>
    </w:pPr>
    <w:rPr>
      <w:rFonts w:ascii="宋体" w:hAnsi="宋体" w:eastAsia="宋体" w:cs="Times New Roman"/>
      <w:kern w:val="0"/>
      <w:sz w:val="18"/>
      <w:szCs w:val="18"/>
    </w:rPr>
  </w:style>
  <w:style w:type="paragraph" w:styleId="29">
    <w:name w:val="Title"/>
    <w:basedOn w:val="1"/>
    <w:next w:val="1"/>
    <w:link w:val="67"/>
    <w:qFormat/>
    <w:uiPriority w:val="0"/>
    <w:pPr>
      <w:spacing w:before="240" w:after="60"/>
      <w:jc w:val="center"/>
      <w:outlineLvl w:val="0"/>
    </w:pPr>
    <w:rPr>
      <w:rFonts w:ascii="Cambria" w:hAnsi="Cambria" w:eastAsia="宋体" w:cs="Times New Roman"/>
      <w:b/>
      <w:bCs/>
      <w:sz w:val="32"/>
      <w:szCs w:val="32"/>
    </w:rPr>
  </w:style>
  <w:style w:type="paragraph" w:styleId="30">
    <w:name w:val="annotation subject"/>
    <w:basedOn w:val="11"/>
    <w:next w:val="11"/>
    <w:link w:val="54"/>
    <w:unhideWhenUsed/>
    <w:qFormat/>
    <w:uiPriority w:val="0"/>
    <w:rPr>
      <w:b/>
      <w:bCs/>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basedOn w:val="33"/>
    <w:semiHidden/>
    <w:unhideWhenUsed/>
    <w:qFormat/>
    <w:uiPriority w:val="0"/>
    <w:rPr>
      <w:rFonts w:ascii="微软雅黑" w:hAnsi="微软雅黑" w:eastAsia="微软雅黑" w:cs="微软雅黑"/>
      <w:color w:val="02396F"/>
      <w:u w:val="single"/>
    </w:rPr>
  </w:style>
  <w:style w:type="character" w:styleId="37">
    <w:name w:val="Emphasis"/>
    <w:basedOn w:val="33"/>
    <w:qFormat/>
    <w:uiPriority w:val="20"/>
    <w:rPr>
      <w:i/>
      <w:iCs/>
    </w:rPr>
  </w:style>
  <w:style w:type="character" w:styleId="38">
    <w:name w:val="Hyperlink"/>
    <w:basedOn w:val="33"/>
    <w:qFormat/>
    <w:uiPriority w:val="99"/>
    <w:rPr>
      <w:color w:val="0000FF"/>
      <w:u w:val="single"/>
    </w:rPr>
  </w:style>
  <w:style w:type="character" w:styleId="39">
    <w:name w:val="annotation reference"/>
    <w:basedOn w:val="33"/>
    <w:unhideWhenUsed/>
    <w:qFormat/>
    <w:uiPriority w:val="0"/>
    <w:rPr>
      <w:sz w:val="21"/>
      <w:szCs w:val="21"/>
    </w:rPr>
  </w:style>
  <w:style w:type="character" w:customStyle="1" w:styleId="40">
    <w:name w:val="标题 2 字符"/>
    <w:basedOn w:val="33"/>
    <w:link w:val="4"/>
    <w:qFormat/>
    <w:uiPriority w:val="9"/>
    <w:rPr>
      <w:rFonts w:ascii="黑体" w:hAnsi="黑体" w:eastAsia="黑体" w:cstheme="majorBidi"/>
      <w:bCs/>
      <w:kern w:val="2"/>
      <w:sz w:val="28"/>
      <w:szCs w:val="32"/>
    </w:rPr>
  </w:style>
  <w:style w:type="character" w:customStyle="1" w:styleId="41">
    <w:name w:val="标题 3 字符"/>
    <w:basedOn w:val="33"/>
    <w:link w:val="5"/>
    <w:qFormat/>
    <w:uiPriority w:val="9"/>
    <w:rPr>
      <w:rFonts w:ascii="仿宋" w:hAnsi="仿宋" w:eastAsia="仿宋"/>
      <w:b/>
      <w:bCs/>
      <w:kern w:val="2"/>
      <w:sz w:val="24"/>
      <w:szCs w:val="32"/>
    </w:rPr>
  </w:style>
  <w:style w:type="paragraph" w:customStyle="1" w:styleId="42">
    <w:name w:val="*正文"/>
    <w:basedOn w:val="1"/>
    <w:link w:val="43"/>
    <w:qFormat/>
    <w:uiPriority w:val="0"/>
    <w:rPr>
      <w:rFonts w:eastAsia="仿宋_GB2312"/>
    </w:rPr>
  </w:style>
  <w:style w:type="character" w:customStyle="1" w:styleId="43">
    <w:name w:val="*正文 Char"/>
    <w:link w:val="42"/>
    <w:qFormat/>
    <w:locked/>
    <w:uiPriority w:val="0"/>
    <w:rPr>
      <w:rFonts w:ascii="宋体" w:hAnsi="宋体" w:eastAsia="仿宋_GB2312" w:cs="Times New Roman"/>
      <w:sz w:val="24"/>
      <w:szCs w:val="24"/>
    </w:rPr>
  </w:style>
  <w:style w:type="character" w:customStyle="1" w:styleId="44">
    <w:name w:val="标题 1 字符"/>
    <w:basedOn w:val="33"/>
    <w:link w:val="3"/>
    <w:qFormat/>
    <w:uiPriority w:val="0"/>
    <w:rPr>
      <w:rFonts w:ascii="仿宋" w:hAnsi="仿宋" w:eastAsia="黑体"/>
      <w:b/>
      <w:kern w:val="44"/>
      <w:sz w:val="32"/>
      <w:szCs w:val="48"/>
    </w:rPr>
  </w:style>
  <w:style w:type="character" w:customStyle="1" w:styleId="45">
    <w:name w:val="标题 4 字符"/>
    <w:basedOn w:val="33"/>
    <w:link w:val="6"/>
    <w:qFormat/>
    <w:uiPriority w:val="0"/>
    <w:rPr>
      <w:rFonts w:ascii="仿宋" w:hAnsi="仿宋" w:eastAsia="仿宋" w:cstheme="majorBidi"/>
      <w:bCs/>
      <w:kern w:val="2"/>
      <w:sz w:val="24"/>
      <w:szCs w:val="28"/>
    </w:rPr>
  </w:style>
  <w:style w:type="character" w:customStyle="1" w:styleId="46">
    <w:name w:val="标题 5 字符"/>
    <w:basedOn w:val="33"/>
    <w:link w:val="7"/>
    <w:qFormat/>
    <w:uiPriority w:val="9"/>
    <w:rPr>
      <w:rFonts w:ascii="仿宋" w:hAnsi="仿宋" w:eastAsia="仿宋"/>
      <w:bCs/>
      <w:kern w:val="2"/>
      <w:sz w:val="24"/>
      <w:szCs w:val="28"/>
    </w:rPr>
  </w:style>
  <w:style w:type="character" w:customStyle="1" w:styleId="47">
    <w:name w:val="正文文本 字符"/>
    <w:basedOn w:val="33"/>
    <w:link w:val="2"/>
    <w:semiHidden/>
    <w:qFormat/>
    <w:uiPriority w:val="99"/>
    <w:rPr>
      <w:rFonts w:ascii="宋体" w:hAnsi="宋体" w:eastAsia="仿宋" w:cs="宋体"/>
      <w:kern w:val="0"/>
      <w:sz w:val="28"/>
      <w:lang w:val="zh-CN" w:bidi="zh-CN"/>
    </w:rPr>
  </w:style>
  <w:style w:type="character" w:customStyle="1" w:styleId="48">
    <w:name w:val="批注框文本 字符"/>
    <w:basedOn w:val="33"/>
    <w:link w:val="18"/>
    <w:semiHidden/>
    <w:qFormat/>
    <w:uiPriority w:val="99"/>
    <w:rPr>
      <w:rFonts w:ascii="Times New Roman" w:hAnsi="Times New Roman" w:eastAsia="仿宋" w:cs="Times New Roman"/>
      <w:sz w:val="18"/>
      <w:szCs w:val="18"/>
    </w:rPr>
  </w:style>
  <w:style w:type="character" w:customStyle="1" w:styleId="49">
    <w:name w:val="页眉 字符"/>
    <w:basedOn w:val="33"/>
    <w:link w:val="20"/>
    <w:qFormat/>
    <w:uiPriority w:val="0"/>
    <w:rPr>
      <w:rFonts w:ascii="Times New Roman" w:hAnsi="Times New Roman" w:eastAsia="仿宋" w:cs="Times New Roman"/>
      <w:sz w:val="18"/>
      <w:szCs w:val="18"/>
    </w:rPr>
  </w:style>
  <w:style w:type="character" w:customStyle="1" w:styleId="50">
    <w:name w:val="页脚 字符"/>
    <w:basedOn w:val="33"/>
    <w:link w:val="19"/>
    <w:qFormat/>
    <w:uiPriority w:val="99"/>
    <w:rPr>
      <w:rFonts w:ascii="Times New Roman" w:hAnsi="Times New Roman" w:eastAsia="仿宋" w:cs="Times New Roman"/>
      <w:sz w:val="18"/>
      <w:szCs w:val="18"/>
    </w:rPr>
  </w:style>
  <w:style w:type="paragraph" w:customStyle="1" w:styleId="51">
    <w:name w:val="正文（首行不缩进）"/>
    <w:basedOn w:val="1"/>
    <w:link w:val="52"/>
    <w:qFormat/>
    <w:uiPriority w:val="0"/>
    <w:pPr>
      <w:ind w:firstLine="0" w:firstLineChars="0"/>
      <w:jc w:val="left"/>
    </w:pPr>
  </w:style>
  <w:style w:type="character" w:customStyle="1" w:styleId="52">
    <w:name w:val="正文（首行不缩进） 字符"/>
    <w:basedOn w:val="33"/>
    <w:link w:val="51"/>
    <w:qFormat/>
    <w:uiPriority w:val="0"/>
    <w:rPr>
      <w:rFonts w:ascii="Times New Roman" w:hAnsi="Times New Roman" w:eastAsia="仿宋" w:cs="Times New Roman"/>
      <w:sz w:val="24"/>
      <w:szCs w:val="24"/>
    </w:rPr>
  </w:style>
  <w:style w:type="character" w:customStyle="1" w:styleId="53">
    <w:name w:val="批注文字 字符"/>
    <w:basedOn w:val="33"/>
    <w:link w:val="11"/>
    <w:qFormat/>
    <w:uiPriority w:val="0"/>
    <w:rPr>
      <w:rFonts w:ascii="Adobe 仿宋 Std R" w:hAnsi="Adobe 仿宋 Std R" w:eastAsia="仿宋" w:cs="Times New Roman"/>
      <w:sz w:val="24"/>
      <w:szCs w:val="24"/>
    </w:rPr>
  </w:style>
  <w:style w:type="character" w:customStyle="1" w:styleId="54">
    <w:name w:val="批注主题 字符"/>
    <w:basedOn w:val="53"/>
    <w:link w:val="30"/>
    <w:qFormat/>
    <w:uiPriority w:val="0"/>
    <w:rPr>
      <w:rFonts w:ascii="Adobe 仿宋 Std R" w:hAnsi="Adobe 仿宋 Std R" w:eastAsia="仿宋" w:cs="Times New Roman"/>
      <w:b/>
      <w:bCs/>
      <w:sz w:val="24"/>
      <w:szCs w:val="24"/>
    </w:rPr>
  </w:style>
  <w:style w:type="character" w:customStyle="1" w:styleId="55">
    <w:name w:val="正文文本缩进 3 字符"/>
    <w:basedOn w:val="33"/>
    <w:link w:val="25"/>
    <w:qFormat/>
    <w:uiPriority w:val="0"/>
    <w:rPr>
      <w:rFonts w:ascii="Times New Roman" w:hAnsi="Times New Roman" w:eastAsia="宋体" w:cs="Times New Roman"/>
      <w:sz w:val="16"/>
      <w:szCs w:val="16"/>
    </w:rPr>
  </w:style>
  <w:style w:type="paragraph" w:customStyle="1" w:styleId="56">
    <w:name w:val="正文首行缩进两字符"/>
    <w:basedOn w:val="1"/>
    <w:qFormat/>
    <w:uiPriority w:val="0"/>
    <w:rPr>
      <w:rFonts w:ascii="Times New Roman" w:hAnsi="Times New Roman" w:eastAsia="宋体"/>
    </w:rPr>
  </w:style>
  <w:style w:type="paragraph" w:customStyle="1" w:styleId="57">
    <w:name w:val="格式自己调的正文"/>
    <w:qFormat/>
    <w:uiPriority w:val="0"/>
    <w:pPr>
      <w:widowControl w:val="0"/>
      <w:adjustRightInd w:val="0"/>
      <w:spacing w:line="360" w:lineRule="auto"/>
      <w:jc w:val="both"/>
      <w:textAlignment w:val="baseline"/>
    </w:pPr>
    <w:rPr>
      <w:rFonts w:ascii="仿宋" w:hAnsi="仿宋" w:eastAsia="仿宋" w:cs="Times New Roman"/>
      <w:sz w:val="24"/>
      <w:lang w:val="en-US" w:eastAsia="zh-CN" w:bidi="ar-SA"/>
    </w:rPr>
  </w:style>
  <w:style w:type="paragraph" w:customStyle="1" w:styleId="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59">
    <w:name w:val="No Spacing"/>
    <w:link w:val="92"/>
    <w:qFormat/>
    <w:uiPriority w:val="1"/>
    <w:pPr>
      <w:widowControl w:val="0"/>
      <w:jc w:val="both"/>
    </w:pPr>
    <w:rPr>
      <w:rFonts w:ascii="Times New Roman" w:hAnsi="Times New Roman" w:eastAsia="宋体" w:cs="Times New Roman"/>
      <w:kern w:val="2"/>
      <w:sz w:val="24"/>
      <w:szCs w:val="24"/>
      <w:lang w:val="en-US" w:eastAsia="zh-CN" w:bidi="ar-SA"/>
    </w:rPr>
  </w:style>
  <w:style w:type="character" w:customStyle="1" w:styleId="60">
    <w:name w:val="纯文本 字符"/>
    <w:basedOn w:val="33"/>
    <w:link w:val="15"/>
    <w:qFormat/>
    <w:uiPriority w:val="0"/>
    <w:rPr>
      <w:rFonts w:ascii="宋体" w:hAnsi="Tms Rmn" w:eastAsia="宋体" w:cs="Times New Roman"/>
      <w:kern w:val="0"/>
      <w:sz w:val="24"/>
      <w:szCs w:val="20"/>
    </w:rPr>
  </w:style>
  <w:style w:type="paragraph" w:customStyle="1" w:styleId="61">
    <w:name w:val="样式1"/>
    <w:basedOn w:val="4"/>
    <w:next w:val="5"/>
    <w:link w:val="62"/>
    <w:qFormat/>
    <w:uiPriority w:val="0"/>
  </w:style>
  <w:style w:type="character" w:customStyle="1" w:styleId="62">
    <w:name w:val="样式1 字符"/>
    <w:basedOn w:val="40"/>
    <w:link w:val="61"/>
    <w:qFormat/>
    <w:uiPriority w:val="0"/>
    <w:rPr>
      <w:rFonts w:ascii="黑体" w:hAnsi="黑体" w:eastAsia="黑体" w:cstheme="majorBidi"/>
      <w:kern w:val="2"/>
      <w:sz w:val="28"/>
      <w:szCs w:val="32"/>
    </w:rPr>
  </w:style>
  <w:style w:type="paragraph" w:styleId="63">
    <w:name w:val="List Paragraph"/>
    <w:basedOn w:val="1"/>
    <w:link w:val="72"/>
    <w:qFormat/>
    <w:uiPriority w:val="99"/>
    <w:pPr>
      <w:ind w:firstLine="420"/>
    </w:pPr>
  </w:style>
  <w:style w:type="character" w:customStyle="1" w:styleId="64">
    <w:name w:val="正文文本缩进 字符"/>
    <w:basedOn w:val="33"/>
    <w:link w:val="12"/>
    <w:qFormat/>
    <w:uiPriority w:val="0"/>
    <w:rPr>
      <w:rFonts w:ascii="仿宋" w:hAnsi="仿宋" w:eastAsia="仿宋"/>
      <w:sz w:val="24"/>
    </w:rPr>
  </w:style>
  <w:style w:type="character" w:customStyle="1" w:styleId="65">
    <w:name w:val="正文文本缩进 2 字符"/>
    <w:basedOn w:val="33"/>
    <w:link w:val="17"/>
    <w:qFormat/>
    <w:uiPriority w:val="0"/>
    <w:rPr>
      <w:rFonts w:ascii="Times New Roman" w:hAnsi="Times New Roman" w:eastAsia="宋体" w:cs="Times New Roman"/>
      <w:sz w:val="24"/>
      <w:szCs w:val="24"/>
    </w:rPr>
  </w:style>
  <w:style w:type="character" w:customStyle="1" w:styleId="66">
    <w:name w:val="副标题 字符"/>
    <w:basedOn w:val="33"/>
    <w:link w:val="23"/>
    <w:qFormat/>
    <w:uiPriority w:val="0"/>
    <w:rPr>
      <w:rFonts w:ascii="Cambria" w:hAnsi="Cambria" w:eastAsia="宋体" w:cs="Times New Roman"/>
      <w:b/>
      <w:bCs/>
      <w:kern w:val="28"/>
      <w:sz w:val="32"/>
      <w:szCs w:val="32"/>
    </w:rPr>
  </w:style>
  <w:style w:type="character" w:customStyle="1" w:styleId="67">
    <w:name w:val="标题 字符"/>
    <w:basedOn w:val="33"/>
    <w:link w:val="29"/>
    <w:qFormat/>
    <w:uiPriority w:val="0"/>
    <w:rPr>
      <w:rFonts w:ascii="Cambria" w:hAnsi="Cambria" w:eastAsia="宋体" w:cs="Times New Roman"/>
      <w:b/>
      <w:bCs/>
      <w:sz w:val="32"/>
      <w:szCs w:val="32"/>
    </w:rPr>
  </w:style>
  <w:style w:type="character" w:customStyle="1" w:styleId="68">
    <w:name w:val="Char Char9"/>
    <w:qFormat/>
    <w:uiPriority w:val="0"/>
    <w:rPr>
      <w:kern w:val="2"/>
      <w:sz w:val="21"/>
    </w:rPr>
  </w:style>
  <w:style w:type="character" w:customStyle="1" w:styleId="69">
    <w:name w:val="批注文字 Char1"/>
    <w:qFormat/>
    <w:uiPriority w:val="0"/>
    <w:rPr>
      <w:kern w:val="2"/>
      <w:sz w:val="18"/>
      <w:lang w:bidi="ar-SA"/>
    </w:rPr>
  </w:style>
  <w:style w:type="character" w:customStyle="1" w:styleId="70">
    <w:name w:val="GW-正文 Char"/>
    <w:link w:val="71"/>
    <w:qFormat/>
    <w:uiPriority w:val="0"/>
    <w:rPr>
      <w:rFonts w:ascii="Times New Roman" w:hAnsi="Times New Roman"/>
      <w:b/>
      <w:sz w:val="24"/>
      <w:szCs w:val="24"/>
    </w:rPr>
  </w:style>
  <w:style w:type="paragraph" w:customStyle="1" w:styleId="71">
    <w:name w:val="GW-正文"/>
    <w:basedOn w:val="1"/>
    <w:link w:val="70"/>
    <w:qFormat/>
    <w:uiPriority w:val="0"/>
    <w:pPr>
      <w:ind w:firstLine="0" w:firstLineChars="0"/>
    </w:pPr>
    <w:rPr>
      <w:rFonts w:ascii="Times New Roman" w:hAnsi="Times New Roman" w:eastAsiaTheme="minorEastAsia"/>
      <w:b/>
      <w:szCs w:val="24"/>
    </w:rPr>
  </w:style>
  <w:style w:type="character" w:customStyle="1" w:styleId="72">
    <w:name w:val="列表段落 字符"/>
    <w:link w:val="63"/>
    <w:qFormat/>
    <w:uiPriority w:val="99"/>
    <w:rPr>
      <w:rFonts w:ascii="仿宋" w:hAnsi="仿宋" w:eastAsia="仿宋"/>
      <w:sz w:val="24"/>
    </w:rPr>
  </w:style>
  <w:style w:type="character" w:customStyle="1" w:styleId="73">
    <w:name w:val="正文缩进 字符"/>
    <w:link w:val="10"/>
    <w:qFormat/>
    <w:uiPriority w:val="0"/>
    <w:rPr>
      <w:rFonts w:ascii="Times New Roman" w:hAnsi="Times New Roman" w:eastAsia="宋体" w:cs="Times New Roman"/>
      <w:sz w:val="24"/>
      <w:szCs w:val="24"/>
    </w:rPr>
  </w:style>
  <w:style w:type="character" w:customStyle="1" w:styleId="74">
    <w:name w:val="（符号）邀请函中一、"/>
    <w:qFormat/>
    <w:uiPriority w:val="0"/>
    <w:rPr>
      <w:rFonts w:ascii="黑体" w:hAnsi="黑体" w:eastAsia="黑体"/>
      <w:b/>
      <w:bCs/>
      <w:sz w:val="24"/>
    </w:rPr>
  </w:style>
  <w:style w:type="paragraph" w:customStyle="1" w:styleId="75">
    <w:name w:val="Char Char Char Char Char Char Char Char Char Char Char Char Char Char1 Char Char Char Char"/>
    <w:basedOn w:val="1"/>
    <w:qFormat/>
    <w:uiPriority w:val="0"/>
    <w:rPr>
      <w:rFonts w:ascii="Times New Roman" w:hAnsi="Times New Roman" w:eastAsia="宋体" w:cs="Times New Roman"/>
    </w:rPr>
  </w:style>
  <w:style w:type="paragraph" w:customStyle="1" w:styleId="76">
    <w:name w:val="样式 首行缩进:  2 字符"/>
    <w:basedOn w:val="1"/>
    <w:qFormat/>
    <w:uiPriority w:val="0"/>
    <w:pPr>
      <w:spacing w:line="400" w:lineRule="exact"/>
    </w:pPr>
    <w:rPr>
      <w:rFonts w:ascii="Times New Roman" w:hAnsi="Times New Roman" w:eastAsia="宋体" w:cs="宋体"/>
      <w:szCs w:val="24"/>
    </w:rPr>
  </w:style>
  <w:style w:type="paragraph" w:customStyle="1" w:styleId="77">
    <w:name w:val="TOC 标题1"/>
    <w:basedOn w:val="3"/>
    <w:next w:val="1"/>
    <w:qFormat/>
    <w:uiPriority w:val="39"/>
    <w:pPr>
      <w:keepNext/>
      <w:keepLines/>
      <w:widowControl/>
      <w:numPr>
        <w:numId w:val="0"/>
      </w:numPr>
      <w:spacing w:before="480" w:line="276" w:lineRule="auto"/>
      <w:jc w:val="left"/>
      <w:outlineLvl w:val="9"/>
    </w:pPr>
    <w:rPr>
      <w:rFonts w:ascii="Cambria" w:hAnsi="Cambria" w:eastAsia="宋体" w:cs="Times New Roman"/>
      <w:bCs/>
      <w:color w:val="365F91"/>
      <w:kern w:val="0"/>
      <w:sz w:val="28"/>
      <w:szCs w:val="28"/>
    </w:rPr>
  </w:style>
  <w:style w:type="paragraph" w:customStyle="1" w:styleId="78">
    <w:name w:val="表格"/>
    <w:basedOn w:val="1"/>
    <w:qFormat/>
    <w:uiPriority w:val="0"/>
    <w:pPr>
      <w:spacing w:line="400" w:lineRule="exact"/>
    </w:pPr>
    <w:rPr>
      <w:rFonts w:ascii="Times New Roman" w:hAnsi="Times New Roman" w:eastAsia="宋体" w:cs="Times New Roman"/>
      <w:szCs w:val="24"/>
    </w:rPr>
  </w:style>
  <w:style w:type="character" w:customStyle="1" w:styleId="79">
    <w:name w:val="gjfg"/>
    <w:basedOn w:val="33"/>
    <w:qFormat/>
    <w:uiPriority w:val="0"/>
  </w:style>
  <w:style w:type="character" w:customStyle="1" w:styleId="80">
    <w:name w:val="qxdate"/>
    <w:basedOn w:val="33"/>
    <w:qFormat/>
    <w:uiPriority w:val="0"/>
    <w:rPr>
      <w:color w:val="333333"/>
      <w:sz w:val="18"/>
      <w:szCs w:val="18"/>
    </w:rPr>
  </w:style>
  <w:style w:type="character" w:customStyle="1" w:styleId="81">
    <w:name w:val="redfilenumber"/>
    <w:basedOn w:val="33"/>
    <w:qFormat/>
    <w:uiPriority w:val="0"/>
    <w:rPr>
      <w:color w:val="BA2636"/>
      <w:sz w:val="18"/>
      <w:szCs w:val="18"/>
    </w:rPr>
  </w:style>
  <w:style w:type="character" w:customStyle="1" w:styleId="82">
    <w:name w:val="cfdate"/>
    <w:basedOn w:val="33"/>
    <w:qFormat/>
    <w:uiPriority w:val="0"/>
    <w:rPr>
      <w:color w:val="333333"/>
      <w:sz w:val="18"/>
      <w:szCs w:val="18"/>
    </w:rPr>
  </w:style>
  <w:style w:type="character" w:customStyle="1" w:styleId="83">
    <w:name w:val="redfilefwwh"/>
    <w:basedOn w:val="33"/>
    <w:qFormat/>
    <w:uiPriority w:val="0"/>
    <w:rPr>
      <w:color w:val="BA2636"/>
      <w:sz w:val="18"/>
      <w:szCs w:val="18"/>
    </w:rPr>
  </w:style>
  <w:style w:type="character" w:customStyle="1" w:styleId="84">
    <w:name w:val="displayarti"/>
    <w:basedOn w:val="33"/>
    <w:qFormat/>
    <w:uiPriority w:val="0"/>
    <w:rPr>
      <w:color w:val="FFFFFF"/>
      <w:shd w:val="clear" w:color="auto" w:fill="A00000"/>
    </w:rPr>
  </w:style>
  <w:style w:type="character" w:customStyle="1" w:styleId="85">
    <w:name w:val="标题 2 Char1"/>
    <w:qFormat/>
    <w:uiPriority w:val="0"/>
    <w:rPr>
      <w:rFonts w:ascii="Arial" w:hAnsi="Arial" w:eastAsia="黑体"/>
      <w:b/>
      <w:bCs/>
      <w:sz w:val="32"/>
      <w:szCs w:val="32"/>
    </w:rPr>
  </w:style>
  <w:style w:type="paragraph" w:customStyle="1" w:styleId="86">
    <w:name w:val="List Paragraph1"/>
    <w:basedOn w:val="1"/>
    <w:unhideWhenUsed/>
    <w:qFormat/>
    <w:uiPriority w:val="99"/>
    <w:pPr>
      <w:ind w:firstLine="420"/>
    </w:pPr>
    <w:rPr>
      <w:rFonts w:hint="eastAsia" w:ascii="Calibri" w:hAnsi="Calibri" w:eastAsia="宋体" w:cs="Times New Roman"/>
      <w:szCs w:val="20"/>
    </w:rPr>
  </w:style>
  <w:style w:type="paragraph" w:customStyle="1" w:styleId="87">
    <w:name w:val="正文样式-Y"/>
    <w:basedOn w:val="1"/>
    <w:link w:val="89"/>
    <w:qFormat/>
    <w:uiPriority w:val="0"/>
    <w:pPr>
      <w:ind w:right="238" w:firstLine="0" w:firstLineChars="0"/>
      <w:jc w:val="left"/>
    </w:pPr>
    <w:rPr>
      <w:rFonts w:ascii="楷体" w:hAnsi="楷体" w:eastAsia="宋体" w:cs="Times New Roman"/>
      <w:b/>
      <w:szCs w:val="24"/>
    </w:rPr>
  </w:style>
  <w:style w:type="paragraph" w:customStyle="1" w:styleId="88">
    <w:name w:val="正文格式Y"/>
    <w:basedOn w:val="1"/>
    <w:link w:val="90"/>
    <w:qFormat/>
    <w:uiPriority w:val="0"/>
    <w:pPr>
      <w:ind w:firstLine="0" w:firstLineChars="0"/>
      <w:jc w:val="left"/>
    </w:pPr>
    <w:rPr>
      <w:rFonts w:ascii="黑体" w:hAnsi="黑体" w:eastAsia="宋体" w:cs="Times New Roman"/>
      <w:b/>
      <w:sz w:val="28"/>
      <w:szCs w:val="24"/>
    </w:rPr>
  </w:style>
  <w:style w:type="character" w:customStyle="1" w:styleId="89">
    <w:name w:val="正文样式-Y 字符"/>
    <w:basedOn w:val="33"/>
    <w:link w:val="87"/>
    <w:qFormat/>
    <w:uiPriority w:val="0"/>
    <w:rPr>
      <w:rFonts w:ascii="楷体" w:hAnsi="楷体" w:eastAsia="宋体" w:cs="Times New Roman"/>
      <w:b/>
      <w:sz w:val="24"/>
      <w:szCs w:val="24"/>
    </w:rPr>
  </w:style>
  <w:style w:type="character" w:customStyle="1" w:styleId="90">
    <w:name w:val="正文格式Y 字符"/>
    <w:basedOn w:val="33"/>
    <w:link w:val="88"/>
    <w:qFormat/>
    <w:uiPriority w:val="0"/>
    <w:rPr>
      <w:rFonts w:ascii="黑体" w:hAnsi="黑体" w:eastAsia="宋体" w:cs="Times New Roman"/>
      <w:b/>
      <w:sz w:val="28"/>
      <w:szCs w:val="24"/>
    </w:rPr>
  </w:style>
  <w:style w:type="paragraph" w:customStyle="1" w:styleId="91">
    <w:name w:val="封面正文"/>
    <w:qFormat/>
    <w:uiPriority w:val="0"/>
    <w:pPr>
      <w:numPr>
        <w:ilvl w:val="0"/>
        <w:numId w:val="3"/>
      </w:numPr>
      <w:ind w:left="0" w:firstLine="0"/>
      <w:jc w:val="both"/>
    </w:pPr>
    <w:rPr>
      <w:rFonts w:ascii="Times New Roman" w:hAnsi="Times New Roman" w:eastAsia="宋体" w:cs="Times New Roman"/>
      <w:lang w:val="en-US" w:eastAsia="zh-CN" w:bidi="ar-SA"/>
    </w:rPr>
  </w:style>
  <w:style w:type="character" w:customStyle="1" w:styleId="92">
    <w:name w:val="无间隔 字符"/>
    <w:basedOn w:val="33"/>
    <w:link w:val="59"/>
    <w:qFormat/>
    <w:uiPriority w:val="1"/>
    <w:rPr>
      <w:rFonts w:ascii="Times New Roman" w:hAnsi="Times New Roman" w:eastAsia="宋体" w:cs="Times New Roman"/>
      <w:sz w:val="24"/>
      <w:szCs w:val="24"/>
    </w:rPr>
  </w:style>
  <w:style w:type="paragraph" w:customStyle="1" w:styleId="93">
    <w:name w:val="图标脚注说明"/>
    <w:basedOn w:val="1"/>
    <w:qFormat/>
    <w:uiPriority w:val="0"/>
    <w:pPr>
      <w:widowControl/>
      <w:numPr>
        <w:ilvl w:val="0"/>
        <w:numId w:val="4"/>
      </w:numPr>
      <w:tabs>
        <w:tab w:val="center" w:pos="4201"/>
        <w:tab w:val="right" w:leader="dot" w:pos="9298"/>
      </w:tabs>
      <w:autoSpaceDE w:val="0"/>
      <w:autoSpaceDN w:val="0"/>
      <w:spacing w:line="240" w:lineRule="auto"/>
      <w:ind w:left="840" w:firstLine="0" w:firstLineChars="0"/>
    </w:pPr>
    <w:rPr>
      <w:rFonts w:ascii="宋体" w:hAnsi="Times New Roman" w:eastAsia="宋体" w:cs="Times New Roman"/>
      <w:kern w:val="0"/>
      <w:sz w:val="18"/>
      <w:szCs w:val="18"/>
    </w:rPr>
  </w:style>
  <w:style w:type="paragraph" w:customStyle="1" w:styleId="94">
    <w:name w:val="正文无缩进"/>
    <w:basedOn w:val="1"/>
    <w:link w:val="95"/>
    <w:qFormat/>
    <w:uiPriority w:val="0"/>
    <w:pPr>
      <w:spacing w:line="240" w:lineRule="auto"/>
      <w:ind w:firstLine="0" w:firstLineChars="0"/>
      <w:jc w:val="left"/>
    </w:pPr>
    <w:rPr>
      <w:rFonts w:cs="Times New Roman"/>
      <w:sz w:val="22"/>
      <w:szCs w:val="24"/>
    </w:rPr>
  </w:style>
  <w:style w:type="character" w:customStyle="1" w:styleId="95">
    <w:name w:val="正文无缩进 字符"/>
    <w:basedOn w:val="33"/>
    <w:link w:val="94"/>
    <w:qFormat/>
    <w:uiPriority w:val="0"/>
    <w:rPr>
      <w:rFonts w:ascii="仿宋" w:hAnsi="仿宋" w:eastAsia="仿宋" w:cs="Times New Roman"/>
      <w:sz w:val="22"/>
      <w:szCs w:val="24"/>
    </w:rPr>
  </w:style>
  <w:style w:type="paragraph" w:customStyle="1" w:styleId="96">
    <w:name w:val="无间隔1"/>
    <w:basedOn w:val="1"/>
    <w:qFormat/>
    <w:uiPriority w:val="0"/>
    <w:pPr>
      <w:spacing w:line="240" w:lineRule="auto"/>
      <w:ind w:firstLine="0" w:firstLineChars="0"/>
    </w:pPr>
    <w:rPr>
      <w:rFonts w:ascii="Times New Roman" w:hAnsi="Times New Roman" w:eastAsia="宋体" w:cs="Times New Roman"/>
      <w:szCs w:val="24"/>
    </w:rPr>
  </w:style>
  <w:style w:type="character" w:customStyle="1" w:styleId="97">
    <w:name w:val="标准正文 Char Char"/>
    <w:link w:val="98"/>
    <w:qFormat/>
    <w:uiPriority w:val="0"/>
    <w:rPr>
      <w:rFonts w:ascii="Arial" w:hAnsi="Arial"/>
      <w:kern w:val="2"/>
      <w:sz w:val="24"/>
    </w:rPr>
  </w:style>
  <w:style w:type="paragraph" w:customStyle="1" w:styleId="98">
    <w:name w:val="标准正文"/>
    <w:basedOn w:val="1"/>
    <w:link w:val="97"/>
    <w:qFormat/>
    <w:uiPriority w:val="0"/>
    <w:pPr>
      <w:spacing w:before="60" w:after="60"/>
      <w:ind w:firstLine="482"/>
    </w:pPr>
    <w:rPr>
      <w:rFonts w:ascii="Arial" w:hAnsi="Arial" w:eastAsiaTheme="minorEastAsia"/>
      <w:szCs w:val="20"/>
    </w:rPr>
  </w:style>
  <w:style w:type="paragraph" w:customStyle="1" w:styleId="99">
    <w:name w:val="列出段落1"/>
    <w:basedOn w:val="1"/>
    <w:qFormat/>
    <w:uiPriority w:val="34"/>
    <w:pPr>
      <w:spacing w:line="240" w:lineRule="auto"/>
      <w:ind w:firstLine="420"/>
    </w:pPr>
    <w:rPr>
      <w:rFonts w:ascii="Calibri" w:hAnsi="Calibri" w:eastAsia="宋体" w:cs="Times New Roman"/>
      <w:sz w:val="21"/>
      <w:szCs w:val="24"/>
    </w:rPr>
  </w:style>
  <w:style w:type="paragraph" w:customStyle="1" w:styleId="100">
    <w:name w:val="01、普通正文"/>
    <w:basedOn w:val="1"/>
    <w:qFormat/>
    <w:uiPriority w:val="0"/>
    <w:pPr>
      <w:tabs>
        <w:tab w:val="left" w:pos="0"/>
      </w:tabs>
      <w:wordWrap w:val="0"/>
      <w:topLinePunct/>
      <w:adjustRightInd w:val="0"/>
      <w:snapToGrid w:val="0"/>
      <w:spacing w:line="440" w:lineRule="exact"/>
      <w:ind w:firstLine="0" w:firstLineChars="0"/>
      <w:jc w:val="left"/>
    </w:pPr>
    <w:rPr>
      <w:rFonts w:hint="eastAsia" w:ascii="宋体" w:hAnsi="宋体" w:eastAsia="宋体" w:cs="Times New Roman"/>
      <w:szCs w:val="24"/>
    </w:rPr>
  </w:style>
  <w:style w:type="character" w:customStyle="1" w:styleId="101">
    <w:name w:val="标题 6 字符"/>
    <w:basedOn w:val="33"/>
    <w:link w:val="8"/>
    <w:semiHidden/>
    <w:qFormat/>
    <w:uiPriority w:val="9"/>
    <w:rPr>
      <w:rFonts w:asciiTheme="majorHAnsi" w:hAnsiTheme="majorHAnsi" w:eastAsiaTheme="majorEastAsia" w:cstheme="majorBidi"/>
      <w:b/>
      <w:bCs/>
      <w:kern w:val="2"/>
      <w:sz w:val="24"/>
      <w:szCs w:val="24"/>
    </w:rPr>
  </w:style>
  <w:style w:type="paragraph" w:customStyle="1" w:styleId="102">
    <w:name w:val="列表内容"/>
    <w:basedOn w:val="1"/>
    <w:next w:val="1"/>
    <w:qFormat/>
    <w:uiPriority w:val="0"/>
    <w:pPr>
      <w:widowControl/>
      <w:jc w:val="left"/>
    </w:pPr>
    <w:rPr>
      <w:kern w:val="0"/>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CF92E0-F552-4D9C-9709-7CD4F226939A}">
  <ds:schemaRefs/>
</ds:datastoreItem>
</file>

<file path=docProps/app.xml><?xml version="1.0" encoding="utf-8"?>
<Properties xmlns="http://schemas.openxmlformats.org/officeDocument/2006/extended-properties" xmlns:vt="http://schemas.openxmlformats.org/officeDocument/2006/docPropsVTypes">
  <Template>Normal.dotm</Template>
  <Company>2012dnd.com</Company>
  <Pages>57</Pages>
  <Words>26264</Words>
  <Characters>26814</Characters>
  <Lines>222</Lines>
  <Paragraphs>62</Paragraphs>
  <TotalTime>34</TotalTime>
  <ScaleCrop>false</ScaleCrop>
  <LinksUpToDate>false</LinksUpToDate>
  <CharactersWithSpaces>27965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2022-10-09T02:14:00Z</dcterms:created>
  <dc:creator>ABC</dc:creator>
  <cp:lastModifiedBy>lenovo</cp:lastModifiedBy>
  <dcterms:modified xsi:type="dcterms:W3CDTF">2022-10-13T03:18:38Z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5BCC596758064E4E9EA6B8CA719F25BA</vt:lpwstr>
  </property>
</Properties>
</file>